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widowControl/>
        <w:spacing w:line="276" w:lineRule="auto" w:before="0" w:after="253"/>
        <w:ind w:firstLine="0" w:left="0" w:right="0"/>
      </w:pPr>
      <w:r>
        <w:rPr>
          <w:rFonts w:ascii="Times New Roman" w:hAnsi="Times New Roman" w:eastAsia="Times New Roman" w:cs="Times New Roman"/>
          <w:b/>
          <w:color w:val="000000"/>
          <w:sz w:val="36"/>
        </w:rPr>
        <w:t>Swiss Real Estate Decision Software Startup</w:t>
      </w:r>
    </w:p>
    <w:p>
      <w:pPr>
        <w:keepNext w:val="0"/>
        <w:widowControl/>
        <w:spacing w:line="276" w:lineRule="auto" w:before="0" w:after="253"/>
        <w:ind w:firstLine="0" w:left="0" w:right="0"/>
      </w:pPr>
      <w:r>
        <w:rPr>
          <w:rFonts w:ascii="Times New Roman" w:hAnsi="Times New Roman" w:eastAsia="Times New Roman" w:cs="Times New Roman"/>
          <w:color w:val="000000"/>
          <w:sz w:val="22"/>
        </w:rPr>
        <w:t>Eshan Mukherjee | 6 October 2026 | Independent portfolio sample</w:t>
      </w:r>
    </w:p>
    <w:p>
      <w:pPr>
        <w:pStyle w:val="Heading1"/>
        <w:keepNext/>
        <w:widowControl/>
        <w:spacing w:line="276" w:lineRule="auto" w:before="253" w:after="120"/>
        <w:ind w:firstLine="0" w:left="0" w:right="0"/>
      </w:pPr>
      <w:r>
        <w:rPr>
          <w:rFonts w:ascii="Times New Roman" w:hAnsi="Times New Roman" w:eastAsia="Times New Roman" w:cs="Times New Roman"/>
          <w:b/>
          <w:color w:val="000000"/>
          <w:sz w:val="32"/>
        </w:rPr>
        <w:t>Executive summary</w:t>
      </w:r>
    </w:p>
    <w:p>
      <w:pPr>
        <w:keepNext w:val="0"/>
        <w:widowControl/>
        <w:spacing w:line="276" w:lineRule="auto" w:before="0" w:after="253"/>
        <w:ind w:firstLine="0" w:left="0" w:right="0"/>
      </w:pPr>
      <w:r>
        <w:rPr>
          <w:rFonts w:ascii="Times New Roman" w:hAnsi="Times New Roman" w:eastAsia="Times New Roman" w:cs="Times New Roman"/>
          <w:color w:val="000000"/>
          <w:sz w:val="22"/>
        </w:rPr>
        <w:t>Stage hiring against contracted revenue and a minimum cash reserve. Use cohort economics and the 13-week cash trough to size financing. The valuation range is illustrative because all startup financials are synthetic.</w:t>
      </w:r>
    </w:p>
    <w:p>
      <w:pPr>
        <w:keepNext w:val="0"/>
        <w:widowControl/>
        <w:spacing w:line="276" w:lineRule="auto" w:before="0" w:after="253"/>
        <w:ind w:firstLine="0" w:left="0" w:right="0"/>
      </w:pPr>
      <w:r>
        <w:rPr>
          <w:rFonts w:ascii="Times New Roman" w:hAnsi="Times New Roman" w:eastAsia="Times New Roman" w:cs="Times New Roman"/>
          <w:color w:val="000000"/>
          <w:sz w:val="22"/>
        </w:rPr>
        <w:t>All startup accounting and operating figures are synthetic. The business description identifies a real prospect.</w:t>
      </w:r>
    </w:p>
    <w:p>
      <w:pPr>
        <w:pStyle w:val="Heading1"/>
        <w:keepNext/>
        <w:widowControl/>
        <w:spacing w:line="276" w:lineRule="auto" w:before="253" w:after="0"/>
        <w:ind w:firstLine="0" w:left="0" w:right="0"/>
      </w:pPr>
      <w:r>
        <w:rPr>
          <w:rFonts w:ascii="Times New Roman" w:hAnsi="Times New Roman" w:eastAsia="Times New Roman" w:cs="Times New Roman"/>
          <w:b/>
          <w:color w:val="000000"/>
          <w:sz w:val="32"/>
        </w:rPr>
        <w:t>Financial review</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3382"/>
        <w:gridCol w:w="1908"/>
        <w:gridCol w:w="1908"/>
        <w:gridCol w:w="2163"/>
      </w:tblGrid>
      <w:tr>
        <w:trPr>
          <w:tblHeader/>
        </w:trPr>
        <w:tc>
          <w:tcPr>
            <w:tcW w:type="dxa" w:w="338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Metric (EUR thousands)</w:t>
            </w:r>
          </w:p>
        </w:tc>
        <w:tc>
          <w:tcPr>
            <w:tcW w:type="dxa" w:w="190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2024</w:t>
            </w:r>
          </w:p>
        </w:tc>
        <w:tc>
          <w:tcPr>
            <w:tcW w:type="dxa" w:w="190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2025</w:t>
            </w:r>
          </w:p>
        </w:tc>
        <w:tc>
          <w:tcPr>
            <w:tcW w:type="dxa" w:w="216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2031 base</w:t>
            </w:r>
          </w:p>
        </w:tc>
      </w:tr>
      <w:tr>
        <w:trPr/>
        <w:tc>
          <w:tcPr>
            <w:tcW w:type="dxa" w:w="338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Revenue</w:t>
            </w:r>
          </w:p>
        </w:tc>
        <w:tc>
          <w:tcPr>
            <w:tcW w:type="dxa" w:w="190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600.0</w:t>
            </w:r>
          </w:p>
        </w:tc>
        <w:tc>
          <w:tcPr>
            <w:tcW w:type="dxa" w:w="190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1,200.0</w:t>
            </w:r>
          </w:p>
        </w:tc>
        <w:tc>
          <w:tcPr>
            <w:tcW w:type="dxa" w:w="216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12,739.0</w:t>
            </w:r>
          </w:p>
        </w:tc>
      </w:tr>
      <w:tr>
        <w:trPr/>
        <w:tc>
          <w:tcPr>
            <w:tcW w:type="dxa" w:w="338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EBITDA proxy</w:t>
            </w:r>
          </w:p>
        </w:tc>
        <w:tc>
          <w:tcPr>
            <w:tcW w:type="dxa" w:w="190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-380.0</w:t>
            </w:r>
          </w:p>
        </w:tc>
        <w:tc>
          <w:tcPr>
            <w:tcW w:type="dxa" w:w="190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-563.2</w:t>
            </w:r>
          </w:p>
        </w:tc>
        <w:tc>
          <w:tcPr>
            <w:tcW w:type="dxa" w:w="216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1,720.5</w:t>
            </w:r>
          </w:p>
        </w:tc>
      </w:tr>
      <w:tr>
        <w:trPr/>
        <w:tc>
          <w:tcPr>
            <w:tcW w:type="dxa" w:w="3382"/>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Unrestricted cash</w:t>
            </w:r>
          </w:p>
        </w:tc>
        <w:tc>
          <w:tcPr>
            <w:tcW w:type="dxa" w:w="1908"/>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1,850.0</w:t>
            </w:r>
          </w:p>
        </w:tc>
        <w:tc>
          <w:tcPr>
            <w:tcW w:type="dxa" w:w="1908"/>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1,376.8</w:t>
            </w:r>
          </w:p>
        </w:tc>
        <w:tc>
          <w:tcPr>
            <w:tcW w:type="dxa" w:w="216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5,829.6</w:t>
            </w:r>
          </w:p>
        </w:tc>
      </w:tr>
    </w:tbl>
    <w:p>
      <w:pPr>
        <w:spacing w:before="0" w:after="0" w:line="253" w:lineRule="exact"/>
      </w:pPr>
    </w:p>
    <w:p>
      <w:pPr>
        <w:keepNext w:val="0"/>
        <w:widowControl/>
        <w:spacing w:line="276" w:lineRule="auto" w:before="0" w:after="253"/>
        <w:ind w:firstLine="0" w:left="0" w:right="0"/>
      </w:pPr>
      <w:r>
        <w:rPr>
          <w:rFonts w:ascii="Times New Roman" w:hAnsi="Times New Roman" w:eastAsia="Times New Roman" w:cs="Times New Roman"/>
          <w:color w:val="000000"/>
          <w:sz w:val="22"/>
        </w:rPr>
        <w:t>EBITDA proxy equals reported operating income plus the mapped depreciation and amortization line. It is not management-adjusted EBITDA.</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1880"/>
        <w:gridCol w:w="2303"/>
        <w:gridCol w:w="2205"/>
        <w:gridCol w:w="2973"/>
      </w:tblGrid>
      <w:tr>
        <w:trPr>
          <w:tblHeader/>
        </w:trPr>
        <w:tc>
          <w:tcPr>
            <w:tcW w:type="dxa" w:w="1880"/>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Scenario</w:t>
            </w:r>
          </w:p>
        </w:tc>
        <w:tc>
          <w:tcPr>
            <w:tcW w:type="dxa" w:w="23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2031 revenue</w:t>
            </w:r>
          </w:p>
        </w:tc>
        <w:tc>
          <w:tcPr>
            <w:tcW w:type="dxa" w:w="2205"/>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2031 EBITDA</w:t>
            </w:r>
          </w:p>
        </w:tc>
        <w:tc>
          <w:tcPr>
            <w:tcW w:type="dxa" w:w="297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DCF enterprise value</w:t>
            </w:r>
          </w:p>
        </w:tc>
      </w:tr>
      <w:tr>
        <w:trPr/>
        <w:tc>
          <w:tcPr>
            <w:tcW w:type="dxa" w:w="1880"/>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Base</w:t>
            </w:r>
          </w:p>
        </w:tc>
        <w:tc>
          <w:tcPr>
            <w:tcW w:type="dxa" w:w="23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12,739.0</w:t>
            </w:r>
          </w:p>
        </w:tc>
        <w:tc>
          <w:tcPr>
            <w:tcW w:type="dxa" w:w="2205"/>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1,720.5</w:t>
            </w:r>
          </w:p>
        </w:tc>
        <w:tc>
          <w:tcPr>
            <w:tcW w:type="dxa" w:w="297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4,384.9</w:t>
            </w:r>
          </w:p>
        </w:tc>
      </w:tr>
      <w:tr>
        <w:trPr/>
        <w:tc>
          <w:tcPr>
            <w:tcW w:type="dxa" w:w="1880"/>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Upside</w:t>
            </w:r>
          </w:p>
        </w:tc>
        <w:tc>
          <w:tcPr>
            <w:tcW w:type="dxa" w:w="23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17,788.0</w:t>
            </w:r>
          </w:p>
        </w:tc>
        <w:tc>
          <w:tcPr>
            <w:tcW w:type="dxa" w:w="2205"/>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6,290.5</w:t>
            </w:r>
          </w:p>
        </w:tc>
        <w:tc>
          <w:tcPr>
            <w:tcW w:type="dxa" w:w="297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20,124.0</w:t>
            </w:r>
          </w:p>
        </w:tc>
      </w:tr>
      <w:tr>
        <w:trPr/>
        <w:tc>
          <w:tcPr>
            <w:tcW w:type="dxa" w:w="1880"/>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Downside</w:t>
            </w:r>
          </w:p>
        </w:tc>
        <w:tc>
          <w:tcPr>
            <w:tcW w:type="dxa" w:w="230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7,486.1</w:t>
            </w:r>
          </w:p>
        </w:tc>
        <w:tc>
          <w:tcPr>
            <w:tcW w:type="dxa" w:w="2205"/>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-3,260.3</w:t>
            </w:r>
          </w:p>
        </w:tc>
        <w:tc>
          <w:tcPr>
            <w:tcW w:type="dxa" w:w="297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-13,316.1</w:t>
            </w:r>
          </w:p>
        </w:tc>
      </w:tr>
    </w:tbl>
    <w:p>
      <w:pPr>
        <w:spacing w:before="0" w:after="0" w:line="253" w:lineRule="exact"/>
      </w:pPr>
    </w:p>
    <w:p>
      <w:pPr>
        <w:keepNext w:val="0"/>
        <w:widowControl/>
        <w:spacing w:line="276" w:lineRule="auto" w:before="0" w:after="253"/>
        <w:ind w:firstLine="0" w:left="0" w:right="0"/>
      </w:pPr>
      <w:r>
        <w:rPr>
          <w:rFonts w:ascii="Times New Roman" w:hAnsi="Times New Roman" w:eastAsia="Times New Roman" w:cs="Times New Roman"/>
          <w:color w:val="000000"/>
          <w:sz w:val="22"/>
        </w:rPr>
        <w:t>The scenario comparison is a dated snapshot. The workbook selector recalculates the live schedules. Negative continuation DCF values require a restructuring or financing response.</w:t>
      </w:r>
    </w:p>
    <w:p>
      <w:pPr>
        <w:pStyle w:val="Heading1"/>
        <w:keepNext/>
        <w:widowControl/>
        <w:spacing w:line="276" w:lineRule="auto" w:before="253" w:after="120"/>
        <w:ind w:firstLine="0" w:left="0" w:right="0"/>
      </w:pPr>
      <w:r>
        <w:rPr>
          <w:rFonts w:ascii="Times New Roman" w:hAnsi="Times New Roman" w:eastAsia="Times New Roman" w:cs="Times New Roman"/>
          <w:b/>
          <w:color w:val="000000"/>
          <w:sz w:val="32"/>
        </w:rPr>
        <w:t>Business and transaction structure</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Revenue and retention</w:t>
      </w:r>
    </w:p>
    <w:p>
      <w:pPr>
        <w:keepNext w:val="0"/>
        <w:widowControl/>
        <w:spacing w:line="276" w:lineRule="auto" w:before="0" w:after="253"/>
        <w:ind w:firstLine="0" w:left="0" w:right="0"/>
      </w:pPr>
      <w:r>
        <w:rPr>
          <w:rFonts w:ascii="Times New Roman" w:hAnsi="Times New Roman" w:eastAsia="Times New Roman" w:cs="Times New Roman"/>
          <w:color w:val="000000"/>
          <w:sz w:val="22"/>
        </w:rPr>
        <w:t>The cohort schedule carries forward retained customers, new customers and annual contract prices. New contracts recognize half a year of subscription revenue in the acquisition year. Implementation fees follow delivery. Ending recurring revenue therefore differs from recognized revenue.</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Liquidity and financing</w:t>
      </w:r>
    </w:p>
    <w:p>
      <w:pPr>
        <w:keepNext w:val="0"/>
        <w:widowControl/>
        <w:spacing w:line="276" w:lineRule="auto" w:before="0" w:after="253"/>
        <w:ind w:firstLine="0" w:left="0" w:right="0"/>
      </w:pPr>
      <w:r>
        <w:rPr>
          <w:rFonts w:ascii="Times New Roman" w:hAnsi="Times New Roman" w:eastAsia="Times New Roman" w:cs="Times New Roman"/>
          <w:color w:val="000000"/>
          <w:sz w:val="22"/>
        </w:rPr>
        <w:t>Book values reconcile through opening deferred revenue plus bookings less recognized revenue. Collections and payroll use explicit weekly timing. Annual cash includes a hypothetical EUR 4,000 thousand equity raise in 2027. The financing schedule compares a EUR 6,000 thousand pre-money value with post-money ownership and a 10% option-pool allocation.</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Valuation</w:t>
      </w:r>
    </w:p>
    <w:p>
      <w:pPr>
        <w:keepNext w:val="0"/>
        <w:widowControl/>
        <w:spacing w:line="276" w:lineRule="auto" w:before="0" w:after="253"/>
        <w:ind w:firstLine="0" w:left="0" w:right="0"/>
      </w:pPr>
      <w:r>
        <w:rPr>
          <w:rFonts w:ascii="Times New Roman" w:hAnsi="Times New Roman" w:eastAsia="Times New Roman" w:cs="Times New Roman"/>
          <w:color w:val="000000"/>
          <w:sz w:val="22"/>
        </w:rPr>
        <w:t>The DCF discounts 2027-2031 unlevered cash flows at an 18% analyst discount rate and tests terminal growth and discount rates. Negative downside DCF values indicate an unviable continuation case and a need to resize costs or financing. Public software benchmarks differ substantially in scale and mix.</w:t>
      </w:r>
    </w:p>
    <w:p>
      <w:pPr>
        <w:pStyle w:val="Heading2"/>
        <w:keepNext/>
        <w:widowControl/>
        <w:spacing w:line="276" w:lineRule="auto" w:before="253" w:after="0"/>
        <w:ind w:firstLine="0" w:left="0" w:right="0"/>
      </w:pPr>
      <w:r>
        <w:rPr>
          <w:rFonts w:ascii="Times New Roman" w:hAnsi="Times New Roman" w:eastAsia="Times New Roman" w:cs="Times New Roman"/>
          <w:b/>
          <w:color w:val="000000"/>
          <w:sz w:val="28"/>
        </w:rPr>
        <w:t>Evidence classes</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3067"/>
        <w:gridCol w:w="6293"/>
      </w:tblGrid>
      <w:tr>
        <w:trPr>
          <w:tblHeade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Class</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Treatment</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Reported fact</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Historical statement figures and dated public disclosures.</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Management guidance</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Qualitative outlook reviewed separately from analyst forecasts.</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Analyst assumption</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Growth, margins, capital intensity, discount rate and scenario drivers.</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Hypothetical terms</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Financing, sponsor ownership, fees, covenants and recovery assumptions.</w:t>
            </w:r>
          </w:p>
        </w:tc>
      </w:tr>
      <w:tr>
        <w:trPr/>
        <w:tc>
          <w:tcPr>
            <w:tcW w:type="dxa" w:w="3067"/>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Synthetic record</w:t>
            </w:r>
          </w:p>
        </w:tc>
        <w:tc>
          <w:tcPr>
            <w:tcW w:type="dxa" w:w="629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All private-startup financial history, customer accounts and staffing economics.</w:t>
            </w:r>
          </w:p>
        </w:tc>
      </w:tr>
    </w:tbl>
    <w:p>
      <w:pPr>
        <w:spacing w:before="0" w:after="0" w:line="253" w:lineRule="exact"/>
      </w:pPr>
    </w:p>
    <w:p>
      <w:pPr>
        <w:keepNext w:val="0"/>
        <w:widowControl/>
        <w:spacing w:line="276" w:lineRule="auto" w:before="0" w:after="253"/>
        <w:ind w:firstLine="0" w:left="0" w:right="0"/>
      </w:pPr>
      <w:r>
        <w:rPr>
          <w:rFonts w:ascii="Times New Roman" w:hAnsi="Times New Roman" w:eastAsia="Times New Roman" w:cs="Times New Roman"/>
          <w:color w:val="000000"/>
          <w:sz w:val="22"/>
        </w:rPr>
        <w:t>Historical cutoff: 2025-12-31. Latest quarterly disclosure reviewed: 2026 estimate. Information cutoff: 6 October 2026. Models calculate from saved inputs without network calls.</w:t>
      </w:r>
    </w:p>
    <w:p>
      <w:pPr>
        <w:pStyle w:val="Heading1"/>
        <w:keepNext/>
        <w:widowControl/>
        <w:spacing w:line="276" w:lineRule="auto" w:before="253" w:after="0"/>
        <w:ind w:firstLine="0" w:left="0" w:right="0"/>
      </w:pPr>
      <w:r>
        <w:rPr>
          <w:rFonts w:ascii="Times New Roman" w:hAnsi="Times New Roman" w:eastAsia="Times New Roman" w:cs="Times New Roman"/>
          <w:b/>
          <w:color w:val="000000"/>
          <w:sz w:val="32"/>
        </w:rPr>
        <w:t>Investment considerations and monitoring</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4603"/>
        <w:gridCol w:w="4757"/>
      </w:tblGrid>
      <w:tr>
        <w:trPr>
          <w:tblHeader/>
        </w:trPr>
        <w:tc>
          <w:tcPr>
            <w:tcW w:type="dxa" w:w="46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Principal risk</w:t>
            </w:r>
          </w:p>
        </w:tc>
        <w:tc>
          <w:tcPr>
            <w:tcW w:type="dxa" w:w="475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Monitoring action</w:t>
            </w:r>
          </w:p>
        </w:tc>
      </w:tr>
      <w:tr>
        <w:trPr/>
        <w:tc>
          <w:tcPr>
            <w:tcW w:type="dxa" w:w="46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Enterprise sales cycles delay bookings and cash collection.</w:t>
            </w:r>
          </w:p>
        </w:tc>
        <w:tc>
          <w:tcPr>
            <w:tcW w:type="dxa" w:w="475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Obtain monthly customer cohorts and signed contracts.</w:t>
            </w:r>
          </w:p>
        </w:tc>
      </w:tr>
      <w:tr>
        <w:trPr/>
        <w:tc>
          <w:tcPr>
            <w:tcW w:type="dxa" w:w="46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Implementation capacity limits customer onboarding.</w:t>
            </w:r>
          </w:p>
        </w:tc>
        <w:tc>
          <w:tcPr>
            <w:tcW w:type="dxa" w:w="475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Reconcile bookings, invoices, recognition and deferred revenue.</w:t>
            </w:r>
          </w:p>
        </w:tc>
      </w:tr>
      <w:tr>
        <w:trPr/>
        <w:tc>
          <w:tcPr>
            <w:tcW w:type="dxa" w:w="46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Inference usage can erode gross margin.</w:t>
            </w:r>
          </w:p>
        </w:tc>
        <w:tc>
          <w:tcPr>
            <w:tcW w:type="dxa" w:w="475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Tie recruitment approvals to financing and collections.</w:t>
            </w:r>
          </w:p>
        </w:tc>
      </w:tr>
      <w:tr>
        <w:trPr/>
        <w:tc>
          <w:tcPr>
            <w:tcW w:type="dxa" w:w="460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A concentrated customer base increases renewal risk.</w:t>
            </w:r>
          </w:p>
        </w:tc>
        <w:tc>
          <w:tcPr>
            <w:tcW w:type="dxa" w:w="4757"/>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Prepare a financing case with downside liquidity protection.</w:t>
            </w:r>
          </w:p>
        </w:tc>
      </w:tr>
    </w:tbl>
    <w:p>
      <w:pPr>
        <w:spacing w:before="0" w:after="0" w:line="253" w:lineRule="exact"/>
      </w:pP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Model checks</w:t>
      </w:r>
    </w:p>
    <w:p>
      <w:pPr>
        <w:keepNext w:val="0"/>
        <w:widowControl/>
        <w:spacing w:line="276" w:lineRule="auto" w:before="0" w:after="253"/>
        <w:ind w:firstLine="0" w:left="0" w:right="0"/>
      </w:pPr>
      <w:r>
        <w:rPr>
          <w:rFonts w:ascii="Times New Roman" w:hAnsi="Times New Roman" w:eastAsia="Times New Roman" w:cs="Times New Roman"/>
          <w:color w:val="000000"/>
          <w:sz w:val="22"/>
        </w:rPr>
        <w:t>The workbook includes independent balance-sheet, cash and debt roll-forward checks. Valuation sensitivities calculate from projected cash flows. Covenant breaches and cash shortfalls remain visible economic findings. Original historical statement mappings and differences are maintained outside the public portfolio.</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Decision conditions</w:t>
      </w:r>
    </w:p>
    <w:p>
      <w:pPr>
        <w:keepNext w:val="0"/>
        <w:widowControl/>
        <w:spacing w:line="276" w:lineRule="auto" w:before="0" w:after="253"/>
        <w:ind w:firstLine="0" w:left="0" w:right="0"/>
      </w:pPr>
      <w:r>
        <w:rPr>
          <w:rFonts w:ascii="Times New Roman" w:hAnsi="Times New Roman" w:eastAsia="Times New Roman" w:cs="Times New Roman"/>
          <w:color w:val="000000"/>
          <w:sz w:val="22"/>
        </w:rPr>
        <w:t>Size the raise against the downside cash trough. The base case also needs EUR 55.2 thousand to preserve the reserve in 2026 before the assumed 2027 close. Accelerate financing or fund this bridge. The downside needs substantially greater funding or reduced hiring.</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Pr>
    <w:r>
      <w:rPr>
        <w:rFonts w:ascii="Times New Roman" w:hAnsi="Times New Roman" w:eastAsia="Times New Roman" w:cs="Times New Roman"/>
        <w:color w:val="000000"/>
        <w:sz w:val="18"/>
      </w:rPr>
      <w:t xml:space="preserve">Eshan Mukherjee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rFonts w:ascii="Times New Roman" w:hAnsi="Times New Roman" w:eastAsia="Times New Roman" w:cs="Times New Roman"/>
        <w:color w:val="000000"/>
        <w:sz w:val="18"/>
      </w:rPr>
      <w:t>Swiss Real Estate Decision Software Startup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253" w:line="276" w:lineRule="auto" w:before="0"/>
      <w:ind w:firstLine="0"/>
    </w:pPr>
    <w:rPr>
      <w:rFonts w:ascii="Times New Roman" w:hAnsi="Times New Roman"/>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253" w:line="276" w:lineRule="auto" w:before="0"/>
      <w:ind w:firstLine="0"/>
    </w:pPr>
    <w:rPr>
      <w:rFonts w:ascii="Times New Roman" w:hAnsi="Times New Roman"/>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253" w:line="276" w:lineRule="auto" w:before="0"/>
      <w:ind w:firstLine="0"/>
    </w:pPr>
    <w:rPr>
      <w:rFonts w:ascii="Times New Roman" w:hAnsi="Times New Roman"/>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53" w:after="120" w:line="276" w:lineRule="auto"/>
      <w:ind w:firstLine="0"/>
      <w:outlineLvl w:val="0"/>
    </w:pPr>
    <w:rPr>
      <w:rFonts w:asciiTheme="majorHAnsi" w:eastAsiaTheme="majorEastAsia" w:hAnsiTheme="majorHAnsi" w:cstheme="majorBidi"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53" w:after="120" w:line="276" w:lineRule="auto"/>
      <w:ind w:firstLine="0"/>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widowControl/>
      <w:spacing w:before="253" w:after="120" w:line="276" w:lineRule="auto"/>
      <w:ind w:firstLine="0"/>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widowControl/>
      <w:spacing w:before="0" w:after="253" w:line="276" w:lineRule="auto"/>
      <w:ind w:firstLine="0"/>
      <w:outlineLvl w:val="3"/>
    </w:pPr>
    <w:rPr>
      <w:rFonts w:asciiTheme="majorHAnsi" w:eastAsiaTheme="majorEastAsia" w:hAnsiTheme="majorHAnsi" w:cstheme="majorBidi" w:ascii="Times New Roman" w:hAnsi="Times New Roman"/>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0" w:after="253" w:line="276" w:lineRule="auto"/>
      <w:ind w:firstLine="0"/>
      <w:outlineLvl w:val="4"/>
    </w:pPr>
    <w:rPr>
      <w:rFonts w:asciiTheme="majorHAnsi" w:eastAsiaTheme="majorEastAsia" w:hAnsiTheme="majorHAnsi" w:cstheme="majorBidi" w:ascii="Times New Roman" w:hAnsi="Times New Roman"/>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0" w:after="253" w:line="276" w:lineRule="auto"/>
      <w:ind w:firstLine="0"/>
      <w:outlineLvl w:val="5"/>
    </w:pPr>
    <w:rPr>
      <w:rFonts w:asciiTheme="majorHAnsi" w:eastAsiaTheme="majorEastAsia" w:hAnsiTheme="majorHAnsi" w:cstheme="majorBidi" w:ascii="Times New Roman" w:hAnsi="Times New Roman"/>
      <w:i/>
      <w:iCs/>
      <w:color w:val="000000"/>
      <w:sz w:val="22"/>
    </w:rPr>
  </w:style>
  <w:style w:type="paragraph" w:styleId="Heading7">
    <w:name w:val="heading 7"/>
    <w:basedOn w:val="Normal"/>
    <w:next w:val="Normal"/>
    <w:link w:val="Heading7Char"/>
    <w:uiPriority w:val="9"/>
    <w:semiHidden/>
    <w:unhideWhenUsed/>
    <w:qFormat/>
    <w:rsid w:val="00FC693F"/>
    <w:pPr>
      <w:keepNext/>
      <w:keepLines/>
      <w:widowControl/>
      <w:spacing w:before="0" w:after="253" w:line="276" w:lineRule="auto"/>
      <w:ind w:firstLine="0"/>
      <w:outlineLvl w:val="6"/>
    </w:pPr>
    <w:rPr>
      <w:rFonts w:asciiTheme="majorHAnsi" w:eastAsiaTheme="majorEastAsia" w:hAnsiTheme="majorHAnsi" w:cstheme="majorBidi" w:ascii="Times New Roman" w:hAnsi="Times New Roman"/>
      <w:i/>
      <w:iCs/>
      <w:color w:val="000000"/>
      <w:sz w:val="22"/>
    </w:rPr>
  </w:style>
  <w:style w:type="paragraph" w:styleId="Heading8">
    <w:name w:val="heading 8"/>
    <w:basedOn w:val="Normal"/>
    <w:next w:val="Normal"/>
    <w:link w:val="Heading8Char"/>
    <w:uiPriority w:val="9"/>
    <w:semiHidden/>
    <w:unhideWhenUsed/>
    <w:qFormat/>
    <w:rsid w:val="00FC693F"/>
    <w:pPr>
      <w:keepNext/>
      <w:keepLines/>
      <w:widowControl/>
      <w:spacing w:before="0" w:after="253" w:line="276" w:lineRule="auto"/>
      <w:ind w:firstLine="0"/>
      <w:outlineLvl w:val="7"/>
    </w:pPr>
    <w:rPr>
      <w:rFonts w:asciiTheme="majorHAnsi" w:eastAsiaTheme="majorEastAsia" w:hAnsiTheme="majorHAnsi" w:cstheme="majorBidi" w:ascii="Times New Roman" w:hAnsi="Times New Roman"/>
      <w:color w:val="000000"/>
      <w:sz w:val="22"/>
      <w:szCs w:val="20"/>
    </w:rPr>
  </w:style>
  <w:style w:type="paragraph" w:styleId="Heading9">
    <w:name w:val="heading 9"/>
    <w:basedOn w:val="Normal"/>
    <w:next w:val="Normal"/>
    <w:link w:val="Heading9Char"/>
    <w:uiPriority w:val="9"/>
    <w:semiHidden/>
    <w:unhideWhenUsed/>
    <w:qFormat/>
    <w:rsid w:val="00FC693F"/>
    <w:pPr>
      <w:keepNext/>
      <w:keepLines/>
      <w:widowControl/>
      <w:spacing w:before="0" w:after="253" w:line="276" w:lineRule="auto"/>
      <w:ind w:firstLine="0"/>
      <w:outlineLvl w:val="8"/>
    </w:pPr>
    <w:rPr>
      <w:rFonts w:asciiTheme="majorHAnsi" w:eastAsiaTheme="majorEastAsia" w:hAnsiTheme="majorHAnsi" w:cstheme="majorBidi" w:ascii="Times New Roman" w:hAnsi="Times New Roman"/>
      <w:i/>
      <w:iCs/>
      <w:color w:val="00000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253" w:line="276" w:lineRule="auto" w:before="0"/>
      <w:ind w:firstLine="0"/>
    </w:pPr>
    <w:rPr>
      <w:rFonts w:ascii="Times New Roman" w:hAnsi="Times New Roman"/>
      <w:color w:val="000000"/>
      <w:sz w:val="22"/>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53" w:line="276" w:lineRule="auto" w:before="0"/>
      <w:ind w:firstLine="0"/>
      <w:contextualSpacing/>
    </w:pPr>
    <w:rPr>
      <w:rFonts w:asciiTheme="majorHAnsi" w:eastAsiaTheme="majorEastAsia" w:hAnsiTheme="majorHAnsi" w:cstheme="majorBidi" w:ascii="Times New Roman" w:hAnsi="Times New Roman"/>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widowControl/>
      <w:numPr>
        <w:ilvl w:val="1"/>
      </w:numPr>
      <w:spacing w:line="276" w:lineRule="auto" w:before="0" w:after="253"/>
      <w:ind w:firstLine="0"/>
    </w:pPr>
    <w:rPr>
      <w:rFonts w:asciiTheme="majorHAnsi" w:eastAsiaTheme="majorEastAsia" w:hAnsiTheme="majorHAnsi" w:cstheme="majorBidi" w:ascii="Times New Roman" w:hAnsi="Times New Roman"/>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widowControl/>
      <w:spacing w:line="276" w:lineRule="auto" w:before="0" w:after="253"/>
      <w:ind w:left="720" w:firstLine="0"/>
      <w:contextualSpacing/>
    </w:pPr>
    <w:rPr>
      <w:rFonts w:ascii="Times New Roman" w:hAnsi="Times New Roman"/>
      <w:color w:val="000000"/>
      <w:sz w:val="22"/>
    </w:rPr>
  </w:style>
  <w:style w:type="paragraph" w:styleId="BodyText">
    <w:name w:val="Body Text"/>
    <w:basedOn w:val="Normal"/>
    <w:link w:val="BodyTextChar"/>
    <w:uiPriority w:val="99"/>
    <w:unhideWhenUsed/>
    <w:rsid w:val="00AA1D8D"/>
    <w:pPr>
      <w:widowControl/>
      <w:spacing w:after="253" w:line="276" w:lineRule="auto" w:before="0"/>
      <w:ind w:firstLine="0"/>
    </w:pPr>
    <w:rPr>
      <w:rFonts w:ascii="Times New Roman" w:hAnsi="Times New Roman"/>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widowControl/>
      <w:spacing w:after="253" w:line="276" w:lineRule="auto" w:before="0"/>
      <w:ind w:firstLine="0"/>
    </w:pPr>
    <w:rPr>
      <w:rFonts w:ascii="Times New Roman" w:hAnsi="Times New Roman"/>
      <w:color w:val="000000"/>
      <w:sz w:val="22"/>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widowControl/>
      <w:spacing w:after="253" w:line="276" w:lineRule="auto" w:before="0"/>
      <w:ind w:firstLine="0"/>
    </w:pPr>
    <w:rPr>
      <w:rFonts w:ascii="Times New Roman" w:hAnsi="Times New Roman"/>
      <w:color w:val="000000"/>
      <w:sz w:val="22"/>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widowControl/>
      <w:spacing w:line="276" w:lineRule="auto" w:before="0" w:after="253"/>
      <w:ind w:left="360" w:firstLine="0"/>
      <w:contextualSpacing/>
    </w:pPr>
    <w:rPr>
      <w:rFonts w:ascii="Times New Roman" w:hAnsi="Times New Roman"/>
      <w:color w:val="000000"/>
      <w:sz w:val="22"/>
    </w:rPr>
  </w:style>
  <w:style w:type="paragraph" w:styleId="List2">
    <w:name w:val="List 2"/>
    <w:basedOn w:val="Normal"/>
    <w:uiPriority w:val="99"/>
    <w:unhideWhenUsed/>
    <w:rsid w:val="00326F90"/>
    <w:pPr>
      <w:widowControl/>
      <w:spacing w:line="276" w:lineRule="auto" w:before="0" w:after="253"/>
      <w:ind w:left="720" w:firstLine="0"/>
      <w:contextualSpacing/>
    </w:pPr>
    <w:rPr>
      <w:rFonts w:ascii="Times New Roman" w:hAnsi="Times New Roman"/>
      <w:color w:val="000000"/>
      <w:sz w:val="22"/>
    </w:rPr>
  </w:style>
  <w:style w:type="paragraph" w:styleId="List3">
    <w:name w:val="List 3"/>
    <w:basedOn w:val="Normal"/>
    <w:uiPriority w:val="99"/>
    <w:unhideWhenUsed/>
    <w:rsid w:val="00326F90"/>
    <w:pPr>
      <w:widowControl/>
      <w:spacing w:line="276" w:lineRule="auto" w:before="0" w:after="253"/>
      <w:ind w:left="1080" w:firstLine="0"/>
      <w:contextualSpacing/>
    </w:pPr>
    <w:rPr>
      <w:rFonts w:ascii="Times New Roman" w:hAnsi="Times New Roman"/>
      <w:color w:val="000000"/>
      <w:sz w:val="22"/>
    </w:rPr>
  </w:style>
  <w:style w:type="paragraph" w:styleId="ListBullet">
    <w:name w:val="List Bullet"/>
    <w:basedOn w:val="Normal"/>
    <w:uiPriority w:val="99"/>
    <w:unhideWhenUsed/>
    <w:rsid w:val="00326F90"/>
    <w:pPr>
      <w:widowControl/>
      <w:numPr>
        <w:numId w:val="1"/>
      </w:numPr>
      <w:spacing w:line="276" w:lineRule="auto" w:before="0" w:after="253"/>
      <w:ind w:firstLine="0"/>
      <w:contextualSpacing/>
    </w:pPr>
    <w:rPr>
      <w:rFonts w:ascii="Times New Roman" w:hAnsi="Times New Roman"/>
      <w:color w:val="000000"/>
      <w:sz w:val="22"/>
    </w:rPr>
  </w:style>
  <w:style w:type="paragraph" w:styleId="ListBullet2">
    <w:name w:val="List Bullet 2"/>
    <w:basedOn w:val="Normal"/>
    <w:uiPriority w:val="99"/>
    <w:unhideWhenUsed/>
    <w:rsid w:val="00326F90"/>
    <w:pPr>
      <w:widowControl/>
      <w:numPr>
        <w:numId w:val="2"/>
      </w:numPr>
      <w:spacing w:line="276" w:lineRule="auto" w:before="0" w:after="253"/>
      <w:ind w:firstLine="0"/>
      <w:contextualSpacing/>
    </w:pPr>
    <w:rPr>
      <w:rFonts w:ascii="Times New Roman" w:hAnsi="Times New Roman"/>
      <w:color w:val="000000"/>
      <w:sz w:val="22"/>
    </w:rPr>
  </w:style>
  <w:style w:type="paragraph" w:styleId="ListBullet3">
    <w:name w:val="List Bullet 3"/>
    <w:basedOn w:val="Normal"/>
    <w:uiPriority w:val="99"/>
    <w:unhideWhenUsed/>
    <w:rsid w:val="00326F90"/>
    <w:pPr>
      <w:widowControl/>
      <w:numPr>
        <w:numId w:val="3"/>
      </w:numPr>
      <w:spacing w:line="276" w:lineRule="auto" w:before="0" w:after="253"/>
      <w:ind w:firstLine="0"/>
      <w:contextualSpacing/>
    </w:pPr>
    <w:rPr>
      <w:rFonts w:ascii="Times New Roman" w:hAnsi="Times New Roman"/>
      <w:color w:val="000000"/>
      <w:sz w:val="22"/>
    </w:rPr>
  </w:style>
  <w:style w:type="paragraph" w:styleId="ListNumber">
    <w:name w:val="List Number"/>
    <w:basedOn w:val="Normal"/>
    <w:uiPriority w:val="99"/>
    <w:unhideWhenUsed/>
    <w:rsid w:val="00326F90"/>
    <w:pPr>
      <w:widowControl/>
      <w:numPr>
        <w:numId w:val="5"/>
      </w:numPr>
      <w:spacing w:line="276" w:lineRule="auto" w:before="0" w:after="253"/>
      <w:ind w:firstLine="0"/>
      <w:contextualSpacing/>
    </w:pPr>
    <w:rPr>
      <w:rFonts w:ascii="Times New Roman" w:hAnsi="Times New Roman"/>
      <w:color w:val="000000"/>
      <w:sz w:val="22"/>
    </w:rPr>
  </w:style>
  <w:style w:type="paragraph" w:styleId="ListNumber2">
    <w:name w:val="List Number 2"/>
    <w:basedOn w:val="Normal"/>
    <w:uiPriority w:val="99"/>
    <w:unhideWhenUsed/>
    <w:rsid w:val="0029639D"/>
    <w:pPr>
      <w:widowControl/>
      <w:numPr>
        <w:numId w:val="6"/>
      </w:numPr>
      <w:spacing w:line="276" w:lineRule="auto" w:before="0" w:after="253"/>
      <w:ind w:firstLine="0"/>
      <w:contextualSpacing/>
    </w:pPr>
    <w:rPr>
      <w:rFonts w:ascii="Times New Roman" w:hAnsi="Times New Roman"/>
      <w:color w:val="000000"/>
      <w:sz w:val="22"/>
    </w:rPr>
  </w:style>
  <w:style w:type="paragraph" w:styleId="ListNumber3">
    <w:name w:val="List Number 3"/>
    <w:basedOn w:val="Normal"/>
    <w:uiPriority w:val="99"/>
    <w:unhideWhenUsed/>
    <w:rsid w:val="0029639D"/>
    <w:pPr>
      <w:widowControl/>
      <w:numPr>
        <w:numId w:val="7"/>
      </w:numPr>
      <w:spacing w:line="276" w:lineRule="auto" w:before="0" w:after="253"/>
      <w:ind w:firstLine="0"/>
      <w:contextualSpacing/>
    </w:pPr>
    <w:rPr>
      <w:rFonts w:ascii="Times New Roman" w:hAnsi="Times New Roman"/>
      <w:color w:val="000000"/>
      <w:sz w:val="22"/>
    </w:rPr>
  </w:style>
  <w:style w:type="paragraph" w:styleId="ListContinue">
    <w:name w:val="List Continue"/>
    <w:basedOn w:val="Normal"/>
    <w:uiPriority w:val="99"/>
    <w:unhideWhenUsed/>
    <w:rsid w:val="0029639D"/>
    <w:pPr>
      <w:widowControl/>
      <w:spacing w:after="253" w:line="276" w:lineRule="auto" w:before="0"/>
      <w:ind w:left="360" w:firstLine="0"/>
      <w:contextualSpacing/>
    </w:pPr>
    <w:rPr>
      <w:rFonts w:ascii="Times New Roman" w:hAnsi="Times New Roman"/>
      <w:color w:val="000000"/>
      <w:sz w:val="22"/>
    </w:rPr>
  </w:style>
  <w:style w:type="paragraph" w:styleId="ListContinue2">
    <w:name w:val="List Continue 2"/>
    <w:basedOn w:val="Normal"/>
    <w:uiPriority w:val="99"/>
    <w:unhideWhenUsed/>
    <w:rsid w:val="0029639D"/>
    <w:pPr>
      <w:widowControl/>
      <w:spacing w:after="253" w:line="276" w:lineRule="auto" w:before="0"/>
      <w:ind w:left="720" w:firstLine="0"/>
      <w:contextualSpacing/>
    </w:pPr>
    <w:rPr>
      <w:rFonts w:ascii="Times New Roman" w:hAnsi="Times New Roman"/>
      <w:color w:val="000000"/>
      <w:sz w:val="22"/>
    </w:rPr>
  </w:style>
  <w:style w:type="paragraph" w:styleId="ListContinue3">
    <w:name w:val="List Continue 3"/>
    <w:basedOn w:val="Normal"/>
    <w:uiPriority w:val="99"/>
    <w:unhideWhenUsed/>
    <w:rsid w:val="0029639D"/>
    <w:pPr>
      <w:widowControl/>
      <w:spacing w:after="253" w:line="276" w:lineRule="auto" w:before="0"/>
      <w:ind w:left="1080" w:firstLine="0"/>
      <w:contextualSpacing/>
    </w:pPr>
    <w:rPr>
      <w:rFonts w:ascii="Times New Roman" w:hAnsi="Times New Roman"/>
      <w:color w:val="000000"/>
      <w:sz w:val="22"/>
    </w:r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spacing w:line="276" w:lineRule="auto" w:before="0" w:after="253"/>
      <w:ind w:firstLine="0"/>
    </w:pPr>
    <w:rPr>
      <w:rFonts w:ascii="Times New Roman" w:hAnsi="Times New Roman"/>
      <w:color w:val="000000"/>
      <w:sz w:val="22"/>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widowControl/>
      <w:spacing w:line="276" w:lineRule="auto" w:before="0" w:after="253"/>
      <w:ind w:firstLine="0"/>
    </w:pPr>
    <w:rPr>
      <w:rFonts w:ascii="Times New Roman" w:hAnsi="Times New Roman"/>
      <w:i/>
      <w:iCs/>
      <w:color w:val="000000"/>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76" w:lineRule="auto" w:before="0" w:after="253"/>
      <w:ind w:firstLine="0"/>
    </w:pPr>
    <w:rPr>
      <w:rFonts w:ascii="Times New Roman" w:hAnsi="Times New Roman"/>
      <w:b/>
      <w:bCs/>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widowControl/>
      <w:spacing w:before="0" w:after="253" w:line="276" w:lineRule="auto"/>
      <w:ind w:left="936" w:right="936" w:firstLine="0"/>
    </w:pPr>
    <w:rPr>
      <w:rFonts w:ascii="Times New Roman" w:hAnsi="Times New Roman"/>
      <w:b/>
      <w:bCs/>
      <w:i/>
      <w:iCs/>
      <w:color w:val="000000"/>
      <w:sz w:val="22"/>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widowControl/>
      <w:spacing w:line="276" w:lineRule="auto" w:before="0" w:after="253"/>
      <w:ind w:firstLine="0"/>
      <w:outlineLvl w:val="9"/>
    </w:pPr>
    <w:rPr>
      <w:rFonts w:ascii="Times New Roman" w:hAnsi="Times New Roman"/>
      <w:color w:val="000000"/>
      <w:sz w:val="22"/>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Office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Swiss Real Estate Decision Software Startup</dc:title>
  <dc:subject>Swiss Real Estate Decision Software Startup</dc:subject>
  <dc:creator>Eshan Mukherjee</dc:creator>
  <cp:keywords/>
  <dc:description/>
  <cp:lastModifiedBy>Eshan Mukherjee</cp:lastModifiedBy>
  <cp:revision>1</cp:revision>
  <dcterms:created xsi:type="dcterms:W3CDTF">2013-12-23T23:15:00Z</dcterms:created>
  <dcterms:modified xsi:type="dcterms:W3CDTF">2013-12-23T23:15:00Z</dcterms:modified>
  <cp:category/>
</cp:coreProperties>
</file>