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widowControl/>
        <w:spacing w:line="276" w:lineRule="auto" w:before="0" w:after="253"/>
        <w:ind w:firstLine="0" w:left="0" w:right="0"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>Electrical Equipment Supplier</w:t>
      </w:r>
    </w:p>
    <w:p>
      <w:pPr>
        <w:keepNext w:val="0"/>
        <w:widowControl/>
        <w:spacing w:line="276" w:lineRule="auto" w:before="0" w:after="253"/>
        <w:ind w:firstLine="0" w:left="0" w:right="0"/>
      </w:pPr>
      <w:r>
        <w:rPr>
          <w:rFonts w:ascii="Times New Roman" w:hAnsi="Times New Roman" w:eastAsia="Times New Roman" w:cs="Times New Roman"/>
          <w:color w:val="000000"/>
          <w:sz w:val="22"/>
        </w:rPr>
        <w:t>Eshan Mukherjee | 6 October 2026 | Independent portfolio sample</w:t>
      </w:r>
    </w:p>
    <w:p>
      <w:pPr>
        <w:pStyle w:val="Heading1"/>
        <w:keepNext/>
        <w:widowControl/>
        <w:spacing w:line="276" w:lineRule="auto" w:before="253" w:after="120"/>
        <w:ind w:firstLine="0" w:left="0" w:right="0"/>
      </w:pPr>
      <w:r>
        <w:rPr>
          <w:rFonts w:ascii="Times New Roman" w:hAnsi="Times New Roman" w:eastAsia="Times New Roman" w:cs="Times New Roman"/>
          <w:b/>
          <w:color w:val="000000"/>
          <w:sz w:val="32"/>
        </w:rPr>
        <w:t>Executive summary</w:t>
      </w:r>
    </w:p>
    <w:p>
      <w:pPr>
        <w:keepNext w:val="0"/>
        <w:widowControl/>
        <w:spacing w:line="276" w:lineRule="auto" w:before="0" w:after="253"/>
        <w:ind w:firstLine="0" w:left="0" w:right="0"/>
      </w:pPr>
      <w:r>
        <w:rPr>
          <w:rFonts w:ascii="Times New Roman" w:hAnsi="Times New Roman" w:eastAsia="Times New Roman" w:cs="Times New Roman"/>
          <w:color w:val="000000"/>
          <w:sz w:val="22"/>
        </w:rPr>
        <w:t>The operating opportunity is attractive, but the market value must be tested against backlog conversion and cash generation. Use the implied-growth grid to assess the price rather than extrapolating exceptional order intake.</w:t>
      </w:r>
    </w:p>
    <w:p>
      <w:pPr>
        <w:keepNext w:val="0"/>
        <w:widowControl/>
        <w:spacing w:line="276" w:lineRule="auto" w:before="0" w:after="253"/>
        <w:ind w:firstLine="0" w:left="0" w:right="0"/>
      </w:pPr>
      <w:r>
        <w:rPr>
          <w:rFonts w:ascii="Times New Roman" w:hAnsi="Times New Roman" w:eastAsia="Times New Roman" w:cs="Times New Roman"/>
          <w:color w:val="000000"/>
          <w:sz w:val="22"/>
        </w:rPr>
        <w:t>Historical financials are reported. Forecasts and transaction structures are illustrative analyst assumptions. No fund investment or executed transaction is implied.</w:t>
      </w:r>
    </w:p>
    <w:p>
      <w:pPr>
        <w:pStyle w:val="Heading1"/>
        <w:keepNext/>
        <w:widowControl/>
        <w:spacing w:line="276" w:lineRule="auto" w:before="253" w:after="0"/>
        <w:ind w:firstLine="0" w:left="0" w:right="0"/>
      </w:pPr>
      <w:r>
        <w:rPr>
          <w:rFonts w:ascii="Times New Roman" w:hAnsi="Times New Roman" w:eastAsia="Times New Roman" w:cs="Times New Roman"/>
          <w:b/>
          <w:color w:val="000000"/>
          <w:sz w:val="32"/>
        </w:rPr>
        <w:t>Financial review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333333"/>
          <w:bottom w:val="single" w:sz="4" w:color="333333"/>
          <w:insideH w:val="single" w:sz="4" w:color="333333"/>
        </w:tblBorders>
      </w:tblPr>
      <w:tblGrid>
        <w:gridCol w:w="3332"/>
        <w:gridCol w:w="1924"/>
        <w:gridCol w:w="1924"/>
        <w:gridCol w:w="2181"/>
      </w:tblGrid>
      <w:tr>
        <w:trPr>
          <w:tblHeader/>
        </w:trPr>
        <w:tc>
          <w:tcPr>
            <w:tcW w:type="dxa" w:w="333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Metric (USD millions)</w:t>
            </w:r>
          </w:p>
        </w:tc>
        <w:tc>
          <w:tcPr>
            <w:tcW w:type="dxa" w:w="19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2024</w:t>
            </w:r>
          </w:p>
        </w:tc>
        <w:tc>
          <w:tcPr>
            <w:tcW w:type="dxa" w:w="19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2025</w:t>
            </w:r>
          </w:p>
        </w:tc>
        <w:tc>
          <w:tcPr>
            <w:tcW w:type="dxa" w:w="2181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2031 base</w:t>
            </w:r>
          </w:p>
        </w:tc>
      </w:tr>
      <w:tr>
        <w:trPr/>
        <w:tc>
          <w:tcPr>
            <w:tcW w:type="dxa" w:w="333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Revenue</w:t>
            </w:r>
          </w:p>
        </w:tc>
        <w:tc>
          <w:tcPr>
            <w:tcW w:type="dxa" w:w="19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1,012.4</w:t>
            </w:r>
          </w:p>
        </w:tc>
        <w:tc>
          <w:tcPr>
            <w:tcW w:type="dxa" w:w="19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1,104.3</w:t>
            </w:r>
          </w:p>
        </w:tc>
        <w:tc>
          <w:tcPr>
            <w:tcW w:type="dxa" w:w="2181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2,696.3</w:t>
            </w:r>
          </w:p>
        </w:tc>
      </w:tr>
      <w:tr>
        <w:trPr/>
        <w:tc>
          <w:tcPr>
            <w:tcW w:type="dxa" w:w="333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EBITDA proxy</w:t>
            </w:r>
          </w:p>
        </w:tc>
        <w:tc>
          <w:tcPr>
            <w:tcW w:type="dxa" w:w="19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185.6</w:t>
            </w:r>
          </w:p>
        </w:tc>
        <w:tc>
          <w:tcPr>
            <w:tcW w:type="dxa" w:w="19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225.1</w:t>
            </w:r>
          </w:p>
        </w:tc>
        <w:tc>
          <w:tcPr>
            <w:tcW w:type="dxa" w:w="2181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552.7</w:t>
            </w:r>
          </w:p>
        </w:tc>
      </w:tr>
      <w:tr>
        <w:trPr/>
        <w:tc>
          <w:tcPr>
            <w:tcW w:type="dxa" w:w="3332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Unrestricted cash</w:t>
            </w:r>
          </w:p>
        </w:tc>
        <w:tc>
          <w:tcPr>
            <w:tcW w:type="dxa" w:w="19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315.3</w:t>
            </w:r>
          </w:p>
        </w:tc>
        <w:tc>
          <w:tcPr>
            <w:tcW w:type="dxa" w:w="1924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450.7</w:t>
            </w:r>
          </w:p>
        </w:tc>
        <w:tc>
          <w:tcPr>
            <w:tcW w:type="dxa" w:w="2181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2,064.0</w:t>
            </w:r>
          </w:p>
        </w:tc>
      </w:tr>
    </w:tbl>
    <w:p>
      <w:pPr>
        <w:spacing w:before="0" w:after="0" w:line="253" w:lineRule="exact"/>
      </w:pPr>
    </w:p>
    <w:p>
      <w:pPr>
        <w:keepNext w:val="0"/>
        <w:widowControl/>
        <w:spacing w:line="276" w:lineRule="auto" w:before="0" w:after="253"/>
        <w:ind w:firstLine="0" w:left="0" w:right="0"/>
      </w:pPr>
      <w:r>
        <w:rPr>
          <w:rFonts w:ascii="Times New Roman" w:hAnsi="Times New Roman" w:eastAsia="Times New Roman" w:cs="Times New Roman"/>
          <w:color w:val="000000"/>
          <w:sz w:val="22"/>
        </w:rPr>
        <w:t>EBITDA proxy equals reported operating income plus the mapped depreciation and amortization line. It is not management-adjusted EBITDA.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333333"/>
          <w:bottom w:val="single" w:sz="4" w:color="333333"/>
          <w:insideH w:val="single" w:sz="4" w:color="333333"/>
        </w:tblBorders>
      </w:tblPr>
      <w:tblGrid>
        <w:gridCol w:w="1880"/>
        <w:gridCol w:w="2303"/>
        <w:gridCol w:w="2205"/>
        <w:gridCol w:w="2973"/>
      </w:tblGrid>
      <w:tr>
        <w:trPr>
          <w:tblHeader/>
        </w:trPr>
        <w:tc>
          <w:tcPr>
            <w:tcW w:type="dxa" w:w="188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Scenario</w:t>
            </w:r>
          </w:p>
        </w:tc>
        <w:tc>
          <w:tcPr>
            <w:tcW w:type="dxa" w:w="230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2031 revenue</w:t>
            </w:r>
          </w:p>
        </w:tc>
        <w:tc>
          <w:tcPr>
            <w:tcW w:type="dxa" w:w="2205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2031 EBITDA</w:t>
            </w:r>
          </w:p>
        </w:tc>
        <w:tc>
          <w:tcPr>
            <w:tcW w:type="dxa" w:w="297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DCF enterprise value</w:t>
            </w:r>
          </w:p>
        </w:tc>
      </w:tr>
      <w:tr>
        <w:trPr/>
        <w:tc>
          <w:tcPr>
            <w:tcW w:type="dxa" w:w="188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Base</w:t>
            </w:r>
          </w:p>
        </w:tc>
        <w:tc>
          <w:tcPr>
            <w:tcW w:type="dxa" w:w="230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2,696.3</w:t>
            </w:r>
          </w:p>
        </w:tc>
        <w:tc>
          <w:tcPr>
            <w:tcW w:type="dxa" w:w="2205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552.7</w:t>
            </w:r>
          </w:p>
        </w:tc>
        <w:tc>
          <w:tcPr>
            <w:tcW w:type="dxa" w:w="297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3,325.8</w:t>
            </w:r>
          </w:p>
        </w:tc>
      </w:tr>
      <w:tr>
        <w:trPr/>
        <w:tc>
          <w:tcPr>
            <w:tcW w:type="dxa" w:w="188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Upside</w:t>
            </w:r>
          </w:p>
        </w:tc>
        <w:tc>
          <w:tcPr>
            <w:tcW w:type="dxa" w:w="230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5,077.7</w:t>
            </w:r>
          </w:p>
        </w:tc>
        <w:tc>
          <w:tcPr>
            <w:tcW w:type="dxa" w:w="2205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1,167.9</w:t>
            </w:r>
          </w:p>
        </w:tc>
        <w:tc>
          <w:tcPr>
            <w:tcW w:type="dxa" w:w="297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7,138.8</w:t>
            </w:r>
          </w:p>
        </w:tc>
      </w:tr>
      <w:tr>
        <w:trPr/>
        <w:tc>
          <w:tcPr>
            <w:tcW w:type="dxa" w:w="1880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Downside</w:t>
            </w:r>
          </w:p>
        </w:tc>
        <w:tc>
          <w:tcPr>
            <w:tcW w:type="dxa" w:w="230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817.1</w:t>
            </w:r>
          </w:p>
        </w:tc>
        <w:tc>
          <w:tcPr>
            <w:tcW w:type="dxa" w:w="2205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134.8</w:t>
            </w:r>
          </w:p>
        </w:tc>
        <w:tc>
          <w:tcPr>
            <w:tcW w:type="dxa" w:w="297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739.9</w:t>
            </w:r>
          </w:p>
        </w:tc>
      </w:tr>
    </w:tbl>
    <w:p>
      <w:pPr>
        <w:spacing w:before="0" w:after="0" w:line="253" w:lineRule="exact"/>
      </w:pPr>
    </w:p>
    <w:p>
      <w:pPr>
        <w:keepNext w:val="0"/>
        <w:widowControl/>
        <w:spacing w:line="276" w:lineRule="auto" w:before="0" w:after="253"/>
        <w:ind w:firstLine="0" w:left="0" w:right="0"/>
      </w:pPr>
      <w:r>
        <w:rPr>
          <w:rFonts w:ascii="Times New Roman" w:hAnsi="Times New Roman" w:eastAsia="Times New Roman" w:cs="Times New Roman"/>
          <w:color w:val="000000"/>
          <w:sz w:val="22"/>
        </w:rPr>
        <w:t>The scenario comparison is a dated snapshot. The workbook selector recalculates the live schedules. Negative continuation DCF values require a restructuring or financing response.</w:t>
      </w:r>
    </w:p>
    <w:p>
      <w:pPr>
        <w:keepNext w:val="0"/>
        <w:widowControl/>
        <w:spacing w:line="276" w:lineRule="auto" w:before="0" w:after="253"/>
        <w:ind w:firstLine="0" w:left="0" w:right="0"/>
      </w:pPr>
      <w:r>
        <w:rPr>
          <w:rFonts w:ascii="Times New Roman" w:hAnsi="Times New Roman" w:eastAsia="Times New Roman" w:cs="Times New Roman"/>
          <w:color w:val="000000"/>
          <w:sz w:val="22"/>
        </w:rPr>
        <w:t>Observed close on 2026-10-05: USD 197.84. Base DCF value before other claims: USD 103.66 per share. This is an illustrative valuation, with claim and dilution limitations shown in the workbook.</w:t>
      </w:r>
    </w:p>
    <w:p>
      <w:pPr>
        <w:pStyle w:val="Heading1"/>
        <w:keepNext/>
        <w:widowControl/>
        <w:spacing w:line="276" w:lineRule="auto" w:before="253" w:after="120"/>
        <w:ind w:firstLine="0" w:left="0" w:right="0"/>
      </w:pPr>
      <w:r>
        <w:rPr>
          <w:rFonts w:ascii="Times New Roman" w:hAnsi="Times New Roman" w:eastAsia="Times New Roman" w:cs="Times New Roman"/>
          <w:b/>
          <w:color w:val="000000"/>
          <w:sz w:val="32"/>
        </w:rPr>
        <w:t>Business and transaction structure</w:t>
      </w:r>
    </w:p>
    <w:p>
      <w:pPr>
        <w:pStyle w:val="Heading2"/>
        <w:keepNext/>
        <w:widowControl/>
        <w:spacing w:line="276" w:lineRule="auto" w:before="253" w:after="120"/>
        <w:ind w:firstLine="0" w:left="0" w:right="0"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Orders to revenue</w:t>
      </w:r>
    </w:p>
    <w:p>
      <w:pPr>
        <w:keepNext w:val="0"/>
        <w:widowControl/>
        <w:spacing w:line="276" w:lineRule="auto" w:before="0" w:after="253"/>
        <w:ind w:firstLine="0" w:left="0" w:right="0"/>
      </w:pPr>
      <w:r>
        <w:rPr>
          <w:rFonts w:ascii="Times New Roman" w:hAnsi="Times New Roman" w:eastAsia="Times New Roman" w:cs="Times New Roman"/>
          <w:color w:val="000000"/>
          <w:sz w:val="22"/>
        </w:rPr>
        <w:t>The operating forecast links delivered revenue to backlog conversion, in-period bookings and a capacity ceiling. Opening fiscal 2025 backlog is USD 1,400 million. The June 2026 disclosure reports USD 2,400 million backlog and approximately USD 1,900 million nine-month bookings. Conversion rates, future orders and capacity growth are analyst assumptions.</w:t>
      </w:r>
    </w:p>
    <w:p>
      <w:pPr>
        <w:pStyle w:val="Heading2"/>
        <w:keepNext/>
        <w:widowControl/>
        <w:spacing w:line="276" w:lineRule="auto" w:before="253" w:after="120"/>
        <w:ind w:firstLine="0" w:left="0" w:right="0"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Cash generation</w:t>
      </w:r>
    </w:p>
    <w:p>
      <w:pPr>
        <w:keepNext w:val="0"/>
        <w:widowControl/>
        <w:spacing w:line="276" w:lineRule="auto" w:before="0" w:after="253"/>
        <w:ind w:firstLine="0" w:left="0" w:right="0"/>
      </w:pPr>
      <w:r>
        <w:rPr>
          <w:rFonts w:ascii="Times New Roman" w:hAnsi="Times New Roman" w:eastAsia="Times New Roman" w:cs="Times New Roman"/>
          <w:color w:val="000000"/>
          <w:sz w:val="22"/>
        </w:rPr>
        <w:t>The three-statement forecast models receivables, inventory, payables and deferred revenue. Customer advances support liquidity but also represent future delivery obligations. Stock compensation remains an economic operating cost in the DCF.</w:t>
      </w:r>
    </w:p>
    <w:p>
      <w:pPr>
        <w:pStyle w:val="Heading2"/>
        <w:keepNext/>
        <w:widowControl/>
        <w:spacing w:line="276" w:lineRule="auto" w:before="253" w:after="120"/>
        <w:ind w:firstLine="0" w:left="0" w:right="0"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Expectations</w:t>
      </w:r>
    </w:p>
    <w:p>
      <w:pPr>
        <w:keepNext w:val="0"/>
        <w:widowControl/>
        <w:spacing w:line="276" w:lineRule="auto" w:before="0" w:after="253"/>
        <w:ind w:firstLine="0" w:left="0" w:right="0"/>
      </w:pPr>
      <w:r>
        <w:rPr>
          <w:rFonts w:ascii="Times New Roman" w:hAnsi="Times New Roman" w:eastAsia="Times New Roman" w:cs="Times New Roman"/>
          <w:color w:val="000000"/>
          <w:sz w:val="22"/>
        </w:rPr>
        <w:t>Compare the observed price with DCF per-share values and the implied-growth grid. The peer table uses electrical-equipment businesses with differences in size and product mix. A premium valuation requires faster durable cash-flow growth than the conservative base case.</w:t>
      </w:r>
    </w:p>
    <w:p>
      <w:pPr>
        <w:pStyle w:val="Heading2"/>
        <w:keepNext/>
        <w:widowControl/>
        <w:spacing w:line="276" w:lineRule="auto" w:before="253" w:after="0"/>
        <w:ind w:firstLine="0" w:left="0" w:right="0"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Evidence classes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333333"/>
          <w:bottom w:val="single" w:sz="4" w:color="333333"/>
          <w:insideH w:val="single" w:sz="4" w:color="333333"/>
        </w:tblBorders>
      </w:tblPr>
      <w:tblGrid>
        <w:gridCol w:w="3067"/>
        <w:gridCol w:w="6293"/>
      </w:tblGrid>
      <w:tr>
        <w:trPr>
          <w:tblHeader/>
        </w:trPr>
        <w:tc>
          <w:tcPr>
            <w:tcW w:type="dxa" w:w="306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Class</w:t>
            </w:r>
          </w:p>
        </w:tc>
        <w:tc>
          <w:tcPr>
            <w:tcW w:type="dxa" w:w="629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Treatment</w:t>
            </w:r>
          </w:p>
        </w:tc>
      </w:tr>
      <w:tr>
        <w:trPr/>
        <w:tc>
          <w:tcPr>
            <w:tcW w:type="dxa" w:w="306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Reported fact</w:t>
            </w:r>
          </w:p>
        </w:tc>
        <w:tc>
          <w:tcPr>
            <w:tcW w:type="dxa" w:w="629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Historical statement figures and dated public disclosures.</w:t>
            </w:r>
          </w:p>
        </w:tc>
      </w:tr>
      <w:tr>
        <w:trPr/>
        <w:tc>
          <w:tcPr>
            <w:tcW w:type="dxa" w:w="306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Management guidance</w:t>
            </w:r>
          </w:p>
        </w:tc>
        <w:tc>
          <w:tcPr>
            <w:tcW w:type="dxa" w:w="629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Qualitative outlook reviewed separately from analyst forecasts.</w:t>
            </w:r>
          </w:p>
        </w:tc>
      </w:tr>
      <w:tr>
        <w:trPr/>
        <w:tc>
          <w:tcPr>
            <w:tcW w:type="dxa" w:w="306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Analyst assumption</w:t>
            </w:r>
          </w:p>
        </w:tc>
        <w:tc>
          <w:tcPr>
            <w:tcW w:type="dxa" w:w="629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Growth, margins, capital intensity, discount rate and scenario drivers.</w:t>
            </w:r>
          </w:p>
        </w:tc>
      </w:tr>
      <w:tr>
        <w:trPr/>
        <w:tc>
          <w:tcPr>
            <w:tcW w:type="dxa" w:w="306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Hypothetical terms</w:t>
            </w:r>
          </w:p>
        </w:tc>
        <w:tc>
          <w:tcPr>
            <w:tcW w:type="dxa" w:w="629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Financing, sponsor ownership, fees, covenants and recovery assumptions.</w:t>
            </w:r>
          </w:p>
        </w:tc>
      </w:tr>
      <w:tr>
        <w:trPr/>
        <w:tc>
          <w:tcPr>
            <w:tcW w:type="dxa" w:w="306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Synthetic record</w:t>
            </w:r>
          </w:p>
        </w:tc>
        <w:tc>
          <w:tcPr>
            <w:tcW w:type="dxa" w:w="629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All private-startup financial history, customer accounts and staffing economics.</w:t>
            </w:r>
          </w:p>
        </w:tc>
      </w:tr>
    </w:tbl>
    <w:p>
      <w:pPr>
        <w:spacing w:before="0" w:after="0" w:line="253" w:lineRule="exact"/>
      </w:pPr>
    </w:p>
    <w:p>
      <w:pPr>
        <w:keepNext w:val="0"/>
        <w:widowControl/>
        <w:spacing w:line="276" w:lineRule="auto" w:before="0" w:after="253"/>
        <w:ind w:firstLine="0" w:left="0" w:right="0"/>
      </w:pPr>
      <w:r>
        <w:rPr>
          <w:rFonts w:ascii="Times New Roman" w:hAnsi="Times New Roman" w:eastAsia="Times New Roman" w:cs="Times New Roman"/>
          <w:color w:val="000000"/>
          <w:sz w:val="22"/>
        </w:rPr>
        <w:t>Historical cutoff: 2025-09-30. Latest quarterly disclosure reviewed: 2026-06-30. Information cutoff: 6 October 2026. Models calculate from saved inputs without network calls.</w:t>
      </w:r>
    </w:p>
    <w:p>
      <w:pPr>
        <w:pStyle w:val="Heading1"/>
        <w:keepNext/>
        <w:widowControl/>
        <w:spacing w:line="276" w:lineRule="auto" w:before="253" w:after="0"/>
        <w:ind w:firstLine="0" w:left="0" w:right="0"/>
      </w:pPr>
      <w:r>
        <w:rPr>
          <w:rFonts w:ascii="Times New Roman" w:hAnsi="Times New Roman" w:eastAsia="Times New Roman" w:cs="Times New Roman"/>
          <w:b/>
          <w:color w:val="000000"/>
          <w:sz w:val="32"/>
        </w:rPr>
        <w:t>Investment considerations and monitoring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333333"/>
          <w:bottom w:val="single" w:sz="4" w:color="333333"/>
          <w:insideH w:val="single" w:sz="4" w:color="333333"/>
        </w:tblBorders>
      </w:tblPr>
      <w:tblGrid>
        <w:gridCol w:w="4753"/>
        <w:gridCol w:w="4607"/>
      </w:tblGrid>
      <w:tr>
        <w:trPr>
          <w:tblHeader/>
        </w:trPr>
        <w:tc>
          <w:tcPr>
            <w:tcW w:type="dxa" w:w="475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Principal risk</w:t>
            </w:r>
          </w:p>
        </w:tc>
        <w:tc>
          <w:tcPr>
            <w:tcW w:type="dxa" w:w="460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0"/>
              </w:rPr>
              <w:t>Monitoring action</w:t>
            </w:r>
          </w:p>
        </w:tc>
      </w:tr>
      <w:tr>
        <w:trPr/>
        <w:tc>
          <w:tcPr>
            <w:tcW w:type="dxa" w:w="475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Large data-center orders create customer and timing concentration.</w:t>
            </w:r>
          </w:p>
        </w:tc>
        <w:tc>
          <w:tcPr>
            <w:tcW w:type="dxa" w:w="460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Quarterly: compare bookings, revenue and ending backlog.</w:t>
            </w:r>
          </w:p>
        </w:tc>
      </w:tr>
      <w:tr>
        <w:trPr/>
        <w:tc>
          <w:tcPr>
            <w:tcW w:type="dxa" w:w="475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Capacity expansion can constrain delivery and margins.</w:t>
            </w:r>
          </w:p>
        </w:tc>
        <w:tc>
          <w:tcPr>
            <w:tcW w:type="dxa" w:w="460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Track cancellations, progress payments and receivables.</w:t>
            </w:r>
          </w:p>
        </w:tc>
      </w:tr>
      <w:tr>
        <w:trPr/>
        <w:tc>
          <w:tcPr>
            <w:tcW w:type="dxa" w:w="475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Deposits can flatter near-term cash flow.</w:t>
            </w:r>
          </w:p>
        </w:tc>
        <w:tc>
          <w:tcPr>
            <w:tcW w:type="dxa" w:w="460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Monitor capacity commissioning and gross-margin normalization.</w:t>
            </w:r>
          </w:p>
        </w:tc>
      </w:tr>
      <w:tr>
        <w:trPr/>
        <w:tc>
          <w:tcPr>
            <w:tcW w:type="dxa" w:w="4753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A premium multiple may already price in strong execution.</w:t>
            </w:r>
          </w:p>
        </w:tc>
        <w:tc>
          <w:tcPr>
            <w:tcW w:type="dxa" w:w="4607"/>
            <w:vAlign w:val="center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keepNext w:val="0"/>
              <w:spacing w:after="60" w:before="60" w:line="240" w:lineRule="auto"/>
              <w:ind w:firstLine="0"/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</w:rPr>
              <w:t>Reassess after a sustained book-to-bill below 1.0x.</w:t>
            </w:r>
          </w:p>
        </w:tc>
      </w:tr>
    </w:tbl>
    <w:p>
      <w:pPr>
        <w:spacing w:before="0" w:after="0" w:line="253" w:lineRule="exact"/>
      </w:pPr>
    </w:p>
    <w:p>
      <w:pPr>
        <w:pStyle w:val="Heading2"/>
        <w:keepNext/>
        <w:widowControl/>
        <w:spacing w:line="276" w:lineRule="auto" w:before="253" w:after="120"/>
        <w:ind w:firstLine="0" w:left="0" w:right="0"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Model checks</w:t>
      </w:r>
    </w:p>
    <w:p>
      <w:pPr>
        <w:keepNext w:val="0"/>
        <w:widowControl/>
        <w:spacing w:line="276" w:lineRule="auto" w:before="0" w:after="253"/>
        <w:ind w:firstLine="0" w:left="0" w:right="0"/>
      </w:pPr>
      <w:r>
        <w:rPr>
          <w:rFonts w:ascii="Times New Roman" w:hAnsi="Times New Roman" w:eastAsia="Times New Roman" w:cs="Times New Roman"/>
          <w:color w:val="000000"/>
          <w:sz w:val="22"/>
        </w:rPr>
        <w:t>The workbook includes independent balance-sheet, cash and debt roll-forward checks. Valuation sensitivities calculate from projected cash flows. Covenant breaches and cash shortfalls remain visible economic findings. Original historical statement mappings and differences are maintained outside the public portfolio.</w:t>
      </w:r>
    </w:p>
    <w:p>
      <w:pPr>
        <w:pStyle w:val="Heading2"/>
        <w:keepNext/>
        <w:widowControl/>
        <w:spacing w:line="276" w:lineRule="auto" w:before="253" w:after="120"/>
        <w:ind w:firstLine="0" w:left="0" w:right="0"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>Decision conditions</w:t>
      </w:r>
    </w:p>
    <w:p>
      <w:pPr>
        <w:keepNext w:val="0"/>
        <w:widowControl/>
        <w:spacing w:line="276" w:lineRule="auto" w:before="0" w:after="253"/>
        <w:ind w:firstLine="0" w:left="0" w:right="0"/>
      </w:pPr>
      <w:r>
        <w:rPr>
          <w:rFonts w:ascii="Times New Roman" w:hAnsi="Times New Roman" w:eastAsia="Times New Roman" w:cs="Times New Roman"/>
          <w:color w:val="000000"/>
          <w:sz w:val="22"/>
        </w:rPr>
        <w:t>The base DCF is USD 103.66 per share versus USD 197.84 observed. Maintain a watchlist case until stronger conversion economics or a lower price supports the required return.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right"/>
    </w:pPr>
    <w:r>
      <w:rPr>
        <w:rFonts w:ascii="Times New Roman" w:hAnsi="Times New Roman" w:eastAsia="Times New Roman" w:cs="Times New Roman"/>
        <w:color w:val="000000"/>
        <w:sz w:val="18"/>
      </w:rPr>
      <w:t xml:space="preserve">Eshan Mukherjee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rPr>
        <w:rFonts w:ascii="Times New Roman" w:hAnsi="Times New Roman" w:eastAsia="Times New Roman" w:cs="Times New Roman"/>
        <w:color w:val="000000"/>
        <w:sz w:val="18"/>
      </w:rPr>
      <w:t>Electrical Equipment Supplier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253" w:line="276" w:lineRule="auto" w:before="0"/>
      <w:ind w:firstLine="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253" w:line="276" w:lineRule="auto" w:before="0"/>
      <w:ind w:firstLine="0"/>
    </w:pPr>
    <w:rPr>
      <w:rFonts w:ascii="Times New Roman" w:hAnsi="Times New Roman"/>
      <w:color w:val="00000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253" w:line="276" w:lineRule="auto" w:before="0"/>
      <w:ind w:firstLine="0"/>
    </w:pPr>
    <w:rPr>
      <w:rFonts w:ascii="Times New Roman" w:hAnsi="Times New Roman"/>
      <w:color w:val="00000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53" w:after="120" w:line="276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53" w:after="120" w:line="276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53" w:after="120" w:line="276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0" w:after="253" w:line="276" w:lineRule="auto"/>
      <w:ind w:firstLine="0"/>
      <w:outlineLvl w:val="3"/>
    </w:pPr>
    <w:rPr>
      <w:rFonts w:asciiTheme="majorHAnsi" w:eastAsiaTheme="majorEastAsia" w:hAnsiTheme="majorHAnsi" w:cstheme="majorBidi" w:ascii="Times New Roman" w:hAnsi="Times New Roman"/>
      <w:b/>
      <w:bCs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0" w:after="253" w:line="276" w:lineRule="auto"/>
      <w:ind w:firstLine="0"/>
      <w:outlineLvl w:val="4"/>
    </w:pPr>
    <w:rPr>
      <w:rFonts w:asciiTheme="majorHAnsi" w:eastAsiaTheme="majorEastAsia" w:hAnsiTheme="majorHAnsi" w:cstheme="majorBidi" w:ascii="Times New Roman" w:hAnsi="Times New Roman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0" w:after="253" w:line="276" w:lineRule="auto"/>
      <w:ind w:firstLine="0"/>
      <w:outlineLvl w:val="5"/>
    </w:pPr>
    <w:rPr>
      <w:rFonts w:asciiTheme="majorHAnsi" w:eastAsiaTheme="majorEastAsia" w:hAnsiTheme="majorHAnsi" w:cstheme="majorBidi" w:ascii="Times New Roman" w:hAnsi="Times New Roman"/>
      <w:i/>
      <w:iCs/>
      <w:color w:val="00000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widowControl/>
      <w:spacing w:before="0" w:after="253" w:line="276" w:lineRule="auto"/>
      <w:ind w:firstLine="0"/>
      <w:outlineLvl w:val="6"/>
    </w:pPr>
    <w:rPr>
      <w:rFonts w:asciiTheme="majorHAnsi" w:eastAsiaTheme="majorEastAsia" w:hAnsiTheme="majorHAnsi" w:cstheme="majorBidi" w:ascii="Times New Roman" w:hAnsi="Times New Roman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widowControl/>
      <w:spacing w:before="0" w:after="253" w:line="276" w:lineRule="auto"/>
      <w:ind w:firstLine="0"/>
      <w:outlineLvl w:val="7"/>
    </w:pPr>
    <w:rPr>
      <w:rFonts w:asciiTheme="majorHAnsi" w:eastAsiaTheme="majorEastAsia" w:hAnsiTheme="majorHAnsi" w:cstheme="majorBidi" w:ascii="Times New Roman" w:hAnsi="Times New Roman"/>
      <w:color w:val="000000"/>
      <w:sz w:val="22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widowControl/>
      <w:spacing w:before="0" w:after="253" w:line="276" w:lineRule="auto"/>
      <w:ind w:firstLine="0"/>
      <w:outlineLvl w:val="8"/>
    </w:pPr>
    <w:rPr>
      <w:rFonts w:asciiTheme="majorHAnsi" w:eastAsiaTheme="majorEastAsia" w:hAnsiTheme="majorHAnsi" w:cstheme="majorBidi" w:ascii="Times New Roman" w:hAnsi="Times New Roman"/>
      <w:i/>
      <w:iCs/>
      <w:color w:val="00000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widowControl/>
      <w:spacing w:after="253" w:line="276" w:lineRule="auto" w:before="0"/>
      <w:ind w:firstLine="0"/>
    </w:pPr>
    <w:rPr>
      <w:rFonts w:ascii="Times New Roman" w:hAnsi="Times New Roman"/>
      <w:color w:val="000000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53" w:line="276" w:lineRule="auto" w:before="0"/>
      <w:ind w:firstLine="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 w:val="0"/>
      <w:widowControl/>
      <w:numPr>
        <w:ilvl w:val="1"/>
      </w:numPr>
      <w:spacing w:line="276" w:lineRule="auto" w:before="0" w:after="253"/>
      <w:ind w:firstLine="0"/>
    </w:pPr>
    <w:rPr>
      <w:rFonts w:asciiTheme="majorHAnsi" w:eastAsiaTheme="majorEastAsia" w:hAnsiTheme="majorHAnsi" w:cstheme="majorBidi" w:ascii="Times New Roman" w:hAnsi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widowControl/>
      <w:spacing w:line="276" w:lineRule="auto" w:before="0" w:after="253"/>
      <w:ind w:left="720" w:firstLine="0"/>
      <w:contextualSpacing/>
    </w:pPr>
    <w:rPr>
      <w:rFonts w:ascii="Times New Roman" w:hAnsi="Times New Roman"/>
      <w:color w:val="000000"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253" w:line="276" w:lineRule="auto" w:before="0"/>
      <w:ind w:firstLine="0"/>
    </w:pPr>
    <w:rPr>
      <w:rFonts w:ascii="Times New Roman" w:hAnsi="Times New Roman"/>
      <w:color w:val="00000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widowControl/>
      <w:spacing w:after="253" w:line="276" w:lineRule="auto" w:before="0"/>
      <w:ind w:firstLine="0"/>
    </w:pPr>
    <w:rPr>
      <w:rFonts w:ascii="Times New Roman" w:hAnsi="Times New Roman"/>
      <w:color w:val="000000"/>
      <w:sz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widowControl/>
      <w:spacing w:after="253" w:line="276" w:lineRule="auto" w:before="0"/>
      <w:ind w:firstLine="0"/>
    </w:pPr>
    <w:rPr>
      <w:rFonts w:ascii="Times New Roman" w:hAnsi="Times New Roman"/>
      <w:color w:val="000000"/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widowControl/>
      <w:spacing w:line="276" w:lineRule="auto" w:before="0" w:after="253"/>
      <w:ind w:left="360" w:firstLine="0"/>
      <w:contextualSpacing/>
    </w:pPr>
    <w:rPr>
      <w:rFonts w:ascii="Times New Roman" w:hAnsi="Times New Roman"/>
      <w:color w:val="000000"/>
      <w:sz w:val="22"/>
    </w:rPr>
  </w:style>
  <w:style w:type="paragraph" w:styleId="List2">
    <w:name w:val="List 2"/>
    <w:basedOn w:val="Normal"/>
    <w:uiPriority w:val="99"/>
    <w:unhideWhenUsed/>
    <w:rsid w:val="00326F90"/>
    <w:pPr>
      <w:widowControl/>
      <w:spacing w:line="276" w:lineRule="auto" w:before="0" w:after="253"/>
      <w:ind w:left="720" w:firstLine="0"/>
      <w:contextualSpacing/>
    </w:pPr>
    <w:rPr>
      <w:rFonts w:ascii="Times New Roman" w:hAnsi="Times New Roman"/>
      <w:color w:val="000000"/>
      <w:sz w:val="22"/>
    </w:rPr>
  </w:style>
  <w:style w:type="paragraph" w:styleId="List3">
    <w:name w:val="List 3"/>
    <w:basedOn w:val="Normal"/>
    <w:uiPriority w:val="99"/>
    <w:unhideWhenUsed/>
    <w:rsid w:val="00326F90"/>
    <w:pPr>
      <w:widowControl/>
      <w:spacing w:line="276" w:lineRule="auto" w:before="0" w:after="253"/>
      <w:ind w:left="1080" w:firstLine="0"/>
      <w:contextualSpacing/>
    </w:pPr>
    <w:rPr>
      <w:rFonts w:ascii="Times New Roman" w:hAnsi="Times New Roman"/>
      <w:color w:val="000000"/>
      <w:sz w:val="22"/>
    </w:r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line="276" w:lineRule="auto" w:before="0" w:after="253"/>
      <w:ind w:firstLine="0"/>
      <w:contextualSpacing/>
    </w:pPr>
    <w:rPr>
      <w:rFonts w:ascii="Times New Roman" w:hAnsi="Times New Roman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widowControl/>
      <w:numPr>
        <w:numId w:val="2"/>
      </w:numPr>
      <w:spacing w:line="276" w:lineRule="auto" w:before="0" w:after="253"/>
      <w:ind w:firstLine="0"/>
      <w:contextualSpacing/>
    </w:pPr>
    <w:rPr>
      <w:rFonts w:ascii="Times New Roman" w:hAnsi="Times New Roman"/>
      <w:color w:val="000000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widowControl/>
      <w:numPr>
        <w:numId w:val="3"/>
      </w:numPr>
      <w:spacing w:line="276" w:lineRule="auto" w:before="0" w:after="253"/>
      <w:ind w:firstLine="0"/>
      <w:contextualSpacing/>
    </w:pPr>
    <w:rPr>
      <w:rFonts w:ascii="Times New Roman" w:hAnsi="Times New Roman"/>
      <w:color w:val="000000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line="276" w:lineRule="auto" w:before="0" w:after="253"/>
      <w:ind w:firstLine="0"/>
      <w:contextualSpacing/>
    </w:pPr>
    <w:rPr>
      <w:rFonts w:ascii="Times New Roman" w:hAnsi="Times New Roman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widowControl/>
      <w:numPr>
        <w:numId w:val="6"/>
      </w:numPr>
      <w:spacing w:line="276" w:lineRule="auto" w:before="0" w:after="253"/>
      <w:ind w:firstLine="0"/>
      <w:contextualSpacing/>
    </w:pPr>
    <w:rPr>
      <w:rFonts w:ascii="Times New Roman" w:hAnsi="Times New Roman"/>
      <w:color w:val="000000"/>
      <w:sz w:val="22"/>
    </w:rPr>
  </w:style>
  <w:style w:type="paragraph" w:styleId="ListNumber3">
    <w:name w:val="List Number 3"/>
    <w:basedOn w:val="Normal"/>
    <w:uiPriority w:val="99"/>
    <w:unhideWhenUsed/>
    <w:rsid w:val="0029639D"/>
    <w:pPr>
      <w:widowControl/>
      <w:numPr>
        <w:numId w:val="7"/>
      </w:numPr>
      <w:spacing w:line="276" w:lineRule="auto" w:before="0" w:after="253"/>
      <w:ind w:firstLine="0"/>
      <w:contextualSpacing/>
    </w:pPr>
    <w:rPr>
      <w:rFonts w:ascii="Times New Roman" w:hAnsi="Times New Roman"/>
      <w:color w:val="000000"/>
      <w:sz w:val="22"/>
    </w:rPr>
  </w:style>
  <w:style w:type="paragraph" w:styleId="ListContinue">
    <w:name w:val="List Continue"/>
    <w:basedOn w:val="Normal"/>
    <w:uiPriority w:val="99"/>
    <w:unhideWhenUsed/>
    <w:rsid w:val="0029639D"/>
    <w:pPr>
      <w:widowControl/>
      <w:spacing w:after="253" w:line="276" w:lineRule="auto" w:before="0"/>
      <w:ind w:left="360" w:firstLine="0"/>
      <w:contextualSpacing/>
    </w:pPr>
    <w:rPr>
      <w:rFonts w:ascii="Times New Roman" w:hAnsi="Times New Roman"/>
      <w:color w:val="000000"/>
      <w:sz w:val="22"/>
    </w:rPr>
  </w:style>
  <w:style w:type="paragraph" w:styleId="ListContinue2">
    <w:name w:val="List Continue 2"/>
    <w:basedOn w:val="Normal"/>
    <w:uiPriority w:val="99"/>
    <w:unhideWhenUsed/>
    <w:rsid w:val="0029639D"/>
    <w:pPr>
      <w:widowControl/>
      <w:spacing w:after="253" w:line="276" w:lineRule="auto" w:before="0"/>
      <w:ind w:left="720" w:firstLine="0"/>
      <w:contextualSpacing/>
    </w:pPr>
    <w:rPr>
      <w:rFonts w:ascii="Times New Roman" w:hAnsi="Times New Roman"/>
      <w:color w:val="000000"/>
      <w:sz w:val="22"/>
    </w:rPr>
  </w:style>
  <w:style w:type="paragraph" w:styleId="ListContinue3">
    <w:name w:val="List Continue 3"/>
    <w:basedOn w:val="Normal"/>
    <w:uiPriority w:val="99"/>
    <w:unhideWhenUsed/>
    <w:rsid w:val="0029639D"/>
    <w:pPr>
      <w:widowControl/>
      <w:spacing w:after="253" w:line="276" w:lineRule="auto" w:before="0"/>
      <w:ind w:left="1080" w:firstLine="0"/>
      <w:contextualSpacing/>
    </w:pPr>
    <w:rPr>
      <w:rFonts w:ascii="Times New Roman" w:hAnsi="Times New Roman"/>
      <w:color w:val="000000"/>
      <w:sz w:val="22"/>
    </w:rPr>
  </w:style>
  <w:style w:type="paragraph" w:styleId="MacroText">
    <w:name w:val="macro"/>
    <w:link w:val="MacroTextChar"/>
    <w:uiPriority w:val="99"/>
    <w:unhideWhenUsed/>
    <w:rsid w:val="0029639D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line="276" w:lineRule="auto" w:before="0" w:after="253"/>
      <w:ind w:firstLine="0"/>
    </w:pPr>
    <w:rPr>
      <w:rFonts w:ascii="Times New Roman" w:hAnsi="Times New Roman"/>
      <w:color w:val="000000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widowControl/>
      <w:spacing w:line="276" w:lineRule="auto" w:before="0" w:after="253"/>
      <w:ind w:firstLine="0"/>
    </w:pPr>
    <w:rPr>
      <w:rFonts w:ascii="Times New Roman" w:hAnsi="Times New Roman"/>
      <w:i/>
      <w:iCs/>
      <w:color w:val="000000"/>
      <w:sz w:val="22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widowControl/>
      <w:spacing w:line="276" w:lineRule="auto" w:before="0" w:after="253"/>
      <w:ind w:firstLine="0"/>
    </w:pPr>
    <w:rPr>
      <w:rFonts w:ascii="Times New Roman" w:hAnsi="Times New Roman"/>
      <w:b/>
      <w:bCs/>
      <w:color w:val="000000"/>
      <w:sz w:val="22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widowControl/>
      <w:spacing w:before="0" w:after="253" w:line="276" w:lineRule="auto"/>
      <w:ind w:left="936" w:right="936" w:firstLine="0"/>
    </w:pPr>
    <w:rPr>
      <w:rFonts w:ascii="Times New Roman" w:hAnsi="Times New Roman"/>
      <w:b/>
      <w:bCs/>
      <w:i/>
      <w:iCs/>
      <w:color w:val="000000"/>
      <w:sz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widowControl/>
      <w:spacing w:line="276" w:lineRule="auto" w:before="0" w:after="253"/>
      <w:ind w:firstLine="0"/>
      <w:outlineLvl w:val="9"/>
    </w:pPr>
    <w:rPr>
      <w:rFonts w:ascii="Times New Roman" w:hAnsi="Times New Roman"/>
      <w:color w:val="000000"/>
      <w:sz w:val="22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Office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Equipment Supplier</dc:title>
  <dc:subject>Electrical Equipment Supplier</dc:subject>
  <dc:creator>Eshan Mukherjee</dc:creator>
  <cp:keywords/>
  <dc:description/>
  <cp:lastModifiedBy>Eshan Mukherjee</cp:lastModifiedBy>
  <cp:revision>1</cp:revision>
  <dcterms:created xsi:type="dcterms:W3CDTF">2013-12-23T23:15:00Z</dcterms:created>
  <dcterms:modified xsi:type="dcterms:W3CDTF">2013-12-23T23:15:00Z</dcterms:modified>
  <cp:category/>
</cp:coreProperties>
</file>