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val="0"/>
        <w:widowControl/>
        <w:spacing w:line="276" w:lineRule="auto" w:before="0" w:after="253"/>
        <w:ind w:firstLine="0" w:left="0" w:right="0"/>
      </w:pPr>
      <w:r>
        <w:rPr>
          <w:rFonts w:ascii="Times New Roman" w:hAnsi="Times New Roman" w:eastAsia="Times New Roman" w:cs="Times New Roman"/>
          <w:b/>
          <w:color w:val="000000"/>
          <w:sz w:val="36"/>
        </w:rPr>
        <w:t>Defense Technology Supplier</w:t>
      </w:r>
    </w:p>
    <w:p>
      <w:pPr>
        <w:keepNext w:val="0"/>
        <w:widowControl/>
        <w:spacing w:line="276" w:lineRule="auto" w:before="0" w:after="253"/>
        <w:ind w:firstLine="0" w:left="0" w:right="0"/>
      </w:pPr>
      <w:r>
        <w:rPr>
          <w:rFonts w:ascii="Times New Roman" w:hAnsi="Times New Roman" w:eastAsia="Times New Roman" w:cs="Times New Roman"/>
          <w:color w:val="000000"/>
          <w:sz w:val="22"/>
        </w:rPr>
        <w:t>Eshan Mukherjee | 6 October 2026 | Independent portfolio sample</w:t>
      </w:r>
    </w:p>
    <w:p>
      <w:pPr>
        <w:pStyle w:val="Heading1"/>
        <w:keepNext/>
        <w:widowControl/>
        <w:spacing w:line="276" w:lineRule="auto" w:before="253" w:after="120"/>
        <w:ind w:firstLine="0" w:left="0" w:right="0"/>
      </w:pPr>
      <w:r>
        <w:rPr>
          <w:rFonts w:ascii="Times New Roman" w:hAnsi="Times New Roman" w:eastAsia="Times New Roman" w:cs="Times New Roman"/>
          <w:b/>
          <w:color w:val="000000"/>
          <w:sz w:val="32"/>
        </w:rPr>
        <w:t>Executive summary</w:t>
      </w:r>
    </w:p>
    <w:p>
      <w:pPr>
        <w:keepNext w:val="0"/>
        <w:widowControl/>
        <w:spacing w:line="276" w:lineRule="auto" w:before="0" w:after="253"/>
        <w:ind w:firstLine="0" w:left="0" w:right="0"/>
      </w:pPr>
      <w:r>
        <w:rPr>
          <w:rFonts w:ascii="Times New Roman" w:hAnsi="Times New Roman" w:eastAsia="Times New Roman" w:cs="Times New Roman"/>
          <w:color w:val="000000"/>
          <w:sz w:val="22"/>
        </w:rPr>
        <w:t>Autonomy offers growth, but procurement timing and investment intensity remain decisive. Underwrite funded awards separately from unfunded opportunities. Require margin and cash-conversion evidence before assigning mature industrial cash economics.</w:t>
      </w:r>
    </w:p>
    <w:p>
      <w:pPr>
        <w:keepNext w:val="0"/>
        <w:widowControl/>
        <w:spacing w:line="276" w:lineRule="auto" w:before="0" w:after="253"/>
        <w:ind w:firstLine="0" w:left="0" w:right="0"/>
      </w:pPr>
      <w:r>
        <w:rPr>
          <w:rFonts w:ascii="Times New Roman" w:hAnsi="Times New Roman" w:eastAsia="Times New Roman" w:cs="Times New Roman"/>
          <w:color w:val="000000"/>
          <w:sz w:val="22"/>
        </w:rPr>
        <w:t>Historical financials are reported. Forecasts and transaction structures are illustrative analyst assumptions. No fund investment or executed transaction is implied.</w:t>
      </w:r>
    </w:p>
    <w:p>
      <w:pPr>
        <w:pStyle w:val="Heading1"/>
        <w:keepNext/>
        <w:widowControl/>
        <w:spacing w:line="276" w:lineRule="auto" w:before="253" w:after="0"/>
        <w:ind w:firstLine="0" w:left="0" w:right="0"/>
      </w:pPr>
      <w:r>
        <w:rPr>
          <w:rFonts w:ascii="Times New Roman" w:hAnsi="Times New Roman" w:eastAsia="Times New Roman" w:cs="Times New Roman"/>
          <w:b/>
          <w:color w:val="000000"/>
          <w:sz w:val="32"/>
        </w:rPr>
        <w:t>Financial review</w:t>
      </w:r>
    </w:p>
    <w:tbl>
      <w:tblPr>
        <w:tblW w:type="dxa" w:w="9360"/>
        <w:jc w:val="center"/>
        <w:tblLayout w:type="fixed"/>
        <w:tblLook w:firstColumn="1" w:firstRow="1" w:lastColumn="0" w:lastRow="0" w:noHBand="0" w:noVBand="1" w:val="04A0"/>
        <w:tblBorders>
          <w:top w:val="single" w:sz="4" w:color="333333"/>
          <w:bottom w:val="single" w:sz="4" w:color="333333"/>
          <w:insideH w:val="single" w:sz="4" w:color="333333"/>
        </w:tblBorders>
      </w:tblPr>
      <w:tblGrid>
        <w:gridCol w:w="3332"/>
        <w:gridCol w:w="1924"/>
        <w:gridCol w:w="1924"/>
        <w:gridCol w:w="2181"/>
      </w:tblGrid>
      <w:tr>
        <w:trPr>
          <w:tblHeader/>
        </w:trPr>
        <w:tc>
          <w:tcPr>
            <w:tcW w:type="dxa" w:w="3332"/>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color w:val="000000"/>
                <w:sz w:val="20"/>
              </w:rPr>
              <w:t>Metric (USD millions)</w:t>
            </w:r>
          </w:p>
        </w:tc>
        <w:tc>
          <w:tcPr>
            <w:tcW w:type="dxa" w:w="1924"/>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color w:val="000000"/>
                <w:sz w:val="20"/>
              </w:rPr>
              <w:t>2024</w:t>
            </w:r>
          </w:p>
        </w:tc>
        <w:tc>
          <w:tcPr>
            <w:tcW w:type="dxa" w:w="1924"/>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color w:val="000000"/>
                <w:sz w:val="20"/>
              </w:rPr>
              <w:t>2025</w:t>
            </w:r>
          </w:p>
        </w:tc>
        <w:tc>
          <w:tcPr>
            <w:tcW w:type="dxa" w:w="2181"/>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color w:val="000000"/>
                <w:sz w:val="20"/>
              </w:rPr>
              <w:t>2031 base</w:t>
            </w:r>
          </w:p>
        </w:tc>
      </w:tr>
      <w:tr>
        <w:trPr/>
        <w:tc>
          <w:tcPr>
            <w:tcW w:type="dxa" w:w="3332"/>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Revenue</w:t>
            </w:r>
          </w:p>
        </w:tc>
        <w:tc>
          <w:tcPr>
            <w:tcW w:type="dxa" w:w="1924"/>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1,136.3</w:t>
            </w:r>
          </w:p>
        </w:tc>
        <w:tc>
          <w:tcPr>
            <w:tcW w:type="dxa" w:w="1924"/>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1,346.8</w:t>
            </w:r>
          </w:p>
        </w:tc>
        <w:tc>
          <w:tcPr>
            <w:tcW w:type="dxa" w:w="2181"/>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3,867.0</w:t>
            </w:r>
          </w:p>
        </w:tc>
      </w:tr>
      <w:tr>
        <w:trPr/>
        <w:tc>
          <w:tcPr>
            <w:tcW w:type="dxa" w:w="3332"/>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EBITDA proxy</w:t>
            </w:r>
          </w:p>
        </w:tc>
        <w:tc>
          <w:tcPr>
            <w:tcW w:type="dxa" w:w="1924"/>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69.3</w:t>
            </w:r>
          </w:p>
        </w:tc>
        <w:tc>
          <w:tcPr>
            <w:tcW w:type="dxa" w:w="1924"/>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72.7</w:t>
            </w:r>
          </w:p>
        </w:tc>
        <w:tc>
          <w:tcPr>
            <w:tcW w:type="dxa" w:w="2181"/>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502.7</w:t>
            </w:r>
          </w:p>
        </w:tc>
      </w:tr>
      <w:tr>
        <w:trPr/>
        <w:tc>
          <w:tcPr>
            <w:tcW w:type="dxa" w:w="3332"/>
            <w:vAlign w:val="center"/>
            <w:tcMar>
              <w:top w:w="85" w:type="dxa"/>
              <w:bottom w:w="85" w:type="dxa"/>
              <w:left w:w="85" w:type="dxa"/>
              <w:right w:w="85" w:type="dxa"/>
            </w:tcMar>
          </w:tcPr>
          <w:p>
            <w:pPr>
              <w:keepNext w:val="0"/>
              <w:spacing w:after="60" w:before="60" w:line="240" w:lineRule="auto"/>
              <w:ind w:firstLine="0"/>
            </w:pPr>
            <w:r>
              <w:rPr>
                <w:rFonts w:ascii="Times New Roman" w:hAnsi="Times New Roman" w:eastAsia="Times New Roman" w:cs="Times New Roman"/>
                <w:b w:val="0"/>
                <w:color w:val="000000"/>
                <w:sz w:val="20"/>
              </w:rPr>
              <w:t>Unrestricted cash</w:t>
            </w:r>
          </w:p>
        </w:tc>
        <w:tc>
          <w:tcPr>
            <w:tcW w:type="dxa" w:w="1924"/>
            <w:vAlign w:val="center"/>
            <w:tcMar>
              <w:top w:w="85" w:type="dxa"/>
              <w:bottom w:w="85" w:type="dxa"/>
              <w:left w:w="85" w:type="dxa"/>
              <w:right w:w="85" w:type="dxa"/>
            </w:tcMar>
          </w:tcPr>
          <w:p>
            <w:pPr>
              <w:keepNext w:val="0"/>
              <w:spacing w:after="60" w:before="60" w:line="240" w:lineRule="auto"/>
              <w:ind w:firstLine="0"/>
            </w:pPr>
            <w:r>
              <w:rPr>
                <w:rFonts w:ascii="Times New Roman" w:hAnsi="Times New Roman" w:eastAsia="Times New Roman" w:cs="Times New Roman"/>
                <w:b w:val="0"/>
                <w:color w:val="000000"/>
                <w:sz w:val="20"/>
              </w:rPr>
              <w:t>329.3</w:t>
            </w:r>
          </w:p>
        </w:tc>
        <w:tc>
          <w:tcPr>
            <w:tcW w:type="dxa" w:w="1924"/>
            <w:vAlign w:val="center"/>
            <w:tcMar>
              <w:top w:w="85" w:type="dxa"/>
              <w:bottom w:w="85" w:type="dxa"/>
              <w:left w:w="85" w:type="dxa"/>
              <w:right w:w="85" w:type="dxa"/>
            </w:tcMar>
          </w:tcPr>
          <w:p>
            <w:pPr>
              <w:keepNext w:val="0"/>
              <w:spacing w:after="60" w:before="60" w:line="240" w:lineRule="auto"/>
              <w:ind w:firstLine="0"/>
            </w:pPr>
            <w:r>
              <w:rPr>
                <w:rFonts w:ascii="Times New Roman" w:hAnsi="Times New Roman" w:eastAsia="Times New Roman" w:cs="Times New Roman"/>
                <w:b w:val="0"/>
                <w:color w:val="000000"/>
                <w:sz w:val="20"/>
              </w:rPr>
              <w:t>560.6</w:t>
            </w:r>
          </w:p>
        </w:tc>
        <w:tc>
          <w:tcPr>
            <w:tcW w:type="dxa" w:w="2181"/>
            <w:vAlign w:val="center"/>
            <w:tcMar>
              <w:top w:w="85" w:type="dxa"/>
              <w:bottom w:w="85" w:type="dxa"/>
              <w:left w:w="85" w:type="dxa"/>
              <w:right w:w="85" w:type="dxa"/>
            </w:tcMar>
          </w:tcPr>
          <w:p>
            <w:pPr>
              <w:keepNext w:val="0"/>
              <w:spacing w:after="60" w:before="60" w:line="240" w:lineRule="auto"/>
              <w:ind w:firstLine="0"/>
            </w:pPr>
            <w:r>
              <w:rPr>
                <w:rFonts w:ascii="Times New Roman" w:hAnsi="Times New Roman" w:eastAsia="Times New Roman" w:cs="Times New Roman"/>
                <w:b w:val="0"/>
                <w:color w:val="000000"/>
                <w:sz w:val="20"/>
              </w:rPr>
              <w:t>1,358.5</w:t>
            </w:r>
          </w:p>
        </w:tc>
      </w:tr>
    </w:tbl>
    <w:p>
      <w:pPr>
        <w:spacing w:before="0" w:after="0" w:line="253" w:lineRule="exact"/>
      </w:pPr>
    </w:p>
    <w:p>
      <w:pPr>
        <w:keepNext w:val="0"/>
        <w:widowControl/>
        <w:spacing w:line="276" w:lineRule="auto" w:before="0" w:after="253"/>
        <w:ind w:firstLine="0" w:left="0" w:right="0"/>
      </w:pPr>
      <w:r>
        <w:rPr>
          <w:rFonts w:ascii="Times New Roman" w:hAnsi="Times New Roman" w:eastAsia="Times New Roman" w:cs="Times New Roman"/>
          <w:color w:val="000000"/>
          <w:sz w:val="22"/>
        </w:rPr>
        <w:t>EBITDA proxy equals reported operating income plus the mapped depreciation and amortization line. It is not management-adjusted EBITDA.</w:t>
      </w:r>
    </w:p>
    <w:tbl>
      <w:tblPr>
        <w:tblW w:type="dxa" w:w="9360"/>
        <w:jc w:val="center"/>
        <w:tblLayout w:type="fixed"/>
        <w:tblLook w:firstColumn="1" w:firstRow="1" w:lastColumn="0" w:lastRow="0" w:noHBand="0" w:noVBand="1" w:val="04A0"/>
        <w:tblBorders>
          <w:top w:val="single" w:sz="4" w:color="333333"/>
          <w:bottom w:val="single" w:sz="4" w:color="333333"/>
          <w:insideH w:val="single" w:sz="4" w:color="333333"/>
        </w:tblBorders>
      </w:tblPr>
      <w:tblGrid>
        <w:gridCol w:w="1880"/>
        <w:gridCol w:w="2303"/>
        <w:gridCol w:w="2205"/>
        <w:gridCol w:w="2973"/>
      </w:tblGrid>
      <w:tr>
        <w:trPr>
          <w:tblHeader/>
        </w:trPr>
        <w:tc>
          <w:tcPr>
            <w:tcW w:type="dxa" w:w="1880"/>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color w:val="000000"/>
                <w:sz w:val="20"/>
              </w:rPr>
              <w:t>Scenario</w:t>
            </w:r>
          </w:p>
        </w:tc>
        <w:tc>
          <w:tcPr>
            <w:tcW w:type="dxa" w:w="2303"/>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color w:val="000000"/>
                <w:sz w:val="20"/>
              </w:rPr>
              <w:t>2031 revenue</w:t>
            </w:r>
          </w:p>
        </w:tc>
        <w:tc>
          <w:tcPr>
            <w:tcW w:type="dxa" w:w="2205"/>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color w:val="000000"/>
                <w:sz w:val="20"/>
              </w:rPr>
              <w:t>2031 EBITDA</w:t>
            </w:r>
          </w:p>
        </w:tc>
        <w:tc>
          <w:tcPr>
            <w:tcW w:type="dxa" w:w="2973"/>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color w:val="000000"/>
                <w:sz w:val="20"/>
              </w:rPr>
              <w:t>DCF enterprise value</w:t>
            </w:r>
          </w:p>
        </w:tc>
      </w:tr>
      <w:tr>
        <w:trPr/>
        <w:tc>
          <w:tcPr>
            <w:tcW w:type="dxa" w:w="1880"/>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Base</w:t>
            </w:r>
          </w:p>
        </w:tc>
        <w:tc>
          <w:tcPr>
            <w:tcW w:type="dxa" w:w="2303"/>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3,867.0</w:t>
            </w:r>
          </w:p>
        </w:tc>
        <w:tc>
          <w:tcPr>
            <w:tcW w:type="dxa" w:w="2205"/>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502.7</w:t>
            </w:r>
          </w:p>
        </w:tc>
        <w:tc>
          <w:tcPr>
            <w:tcW w:type="dxa" w:w="2973"/>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1,005.3</w:t>
            </w:r>
          </w:p>
        </w:tc>
      </w:tr>
      <w:tr>
        <w:trPr/>
        <w:tc>
          <w:tcPr>
            <w:tcW w:type="dxa" w:w="1880"/>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Upside</w:t>
            </w:r>
          </w:p>
        </w:tc>
        <w:tc>
          <w:tcPr>
            <w:tcW w:type="dxa" w:w="2303"/>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4,946.4</w:t>
            </w:r>
          </w:p>
        </w:tc>
        <w:tc>
          <w:tcPr>
            <w:tcW w:type="dxa" w:w="2205"/>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766.7</w:t>
            </w:r>
          </w:p>
        </w:tc>
        <w:tc>
          <w:tcPr>
            <w:tcW w:type="dxa" w:w="2973"/>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2,284.3</w:t>
            </w:r>
          </w:p>
        </w:tc>
      </w:tr>
      <w:tr>
        <w:trPr/>
        <w:tc>
          <w:tcPr>
            <w:tcW w:type="dxa" w:w="1880"/>
            <w:vAlign w:val="center"/>
            <w:tcMar>
              <w:top w:w="85" w:type="dxa"/>
              <w:bottom w:w="85" w:type="dxa"/>
              <w:left w:w="85" w:type="dxa"/>
              <w:right w:w="85" w:type="dxa"/>
            </w:tcMar>
          </w:tcPr>
          <w:p>
            <w:pPr>
              <w:keepNext w:val="0"/>
              <w:spacing w:after="60" w:before="60" w:line="240" w:lineRule="auto"/>
              <w:ind w:firstLine="0"/>
            </w:pPr>
            <w:r>
              <w:rPr>
                <w:rFonts w:ascii="Times New Roman" w:hAnsi="Times New Roman" w:eastAsia="Times New Roman" w:cs="Times New Roman"/>
                <w:b w:val="0"/>
                <w:color w:val="000000"/>
                <w:sz w:val="20"/>
              </w:rPr>
              <w:t>Downside</w:t>
            </w:r>
          </w:p>
        </w:tc>
        <w:tc>
          <w:tcPr>
            <w:tcW w:type="dxa" w:w="2303"/>
            <w:vAlign w:val="center"/>
            <w:tcMar>
              <w:top w:w="85" w:type="dxa"/>
              <w:bottom w:w="85" w:type="dxa"/>
              <w:left w:w="85" w:type="dxa"/>
              <w:right w:w="85" w:type="dxa"/>
            </w:tcMar>
          </w:tcPr>
          <w:p>
            <w:pPr>
              <w:keepNext w:val="0"/>
              <w:spacing w:after="60" w:before="60" w:line="240" w:lineRule="auto"/>
              <w:ind w:firstLine="0"/>
            </w:pPr>
            <w:r>
              <w:rPr>
                <w:rFonts w:ascii="Times New Roman" w:hAnsi="Times New Roman" w:eastAsia="Times New Roman" w:cs="Times New Roman"/>
                <w:b w:val="0"/>
                <w:color w:val="000000"/>
                <w:sz w:val="20"/>
              </w:rPr>
              <w:t>2,550.6</w:t>
            </w:r>
          </w:p>
        </w:tc>
        <w:tc>
          <w:tcPr>
            <w:tcW w:type="dxa" w:w="2205"/>
            <w:vAlign w:val="center"/>
            <w:tcMar>
              <w:top w:w="85" w:type="dxa"/>
              <w:bottom w:w="85" w:type="dxa"/>
              <w:left w:w="85" w:type="dxa"/>
              <w:right w:w="85" w:type="dxa"/>
            </w:tcMar>
          </w:tcPr>
          <w:p>
            <w:pPr>
              <w:keepNext w:val="0"/>
              <w:spacing w:after="60" w:before="60" w:line="240" w:lineRule="auto"/>
              <w:ind w:firstLine="0"/>
            </w:pPr>
            <w:r>
              <w:rPr>
                <w:rFonts w:ascii="Times New Roman" w:hAnsi="Times New Roman" w:eastAsia="Times New Roman" w:cs="Times New Roman"/>
                <w:b w:val="0"/>
                <w:color w:val="000000"/>
                <w:sz w:val="20"/>
              </w:rPr>
              <w:t>229.6</w:t>
            </w:r>
          </w:p>
        </w:tc>
        <w:tc>
          <w:tcPr>
            <w:tcW w:type="dxa" w:w="2973"/>
            <w:vAlign w:val="center"/>
            <w:tcMar>
              <w:top w:w="85" w:type="dxa"/>
              <w:bottom w:w="85" w:type="dxa"/>
              <w:left w:w="85" w:type="dxa"/>
              <w:right w:w="85" w:type="dxa"/>
            </w:tcMar>
          </w:tcPr>
          <w:p>
            <w:pPr>
              <w:keepNext w:val="0"/>
              <w:spacing w:after="60" w:before="60" w:line="240" w:lineRule="auto"/>
              <w:ind w:firstLine="0"/>
            </w:pPr>
            <w:r>
              <w:rPr>
                <w:rFonts w:ascii="Times New Roman" w:hAnsi="Times New Roman" w:eastAsia="Times New Roman" w:cs="Times New Roman"/>
                <w:b w:val="0"/>
                <w:color w:val="000000"/>
                <w:sz w:val="20"/>
              </w:rPr>
              <w:t>-399.2</w:t>
            </w:r>
          </w:p>
        </w:tc>
      </w:tr>
    </w:tbl>
    <w:p>
      <w:pPr>
        <w:spacing w:before="0" w:after="0" w:line="253" w:lineRule="exact"/>
      </w:pPr>
    </w:p>
    <w:p>
      <w:pPr>
        <w:keepNext w:val="0"/>
        <w:widowControl/>
        <w:spacing w:line="276" w:lineRule="auto" w:before="0" w:after="253"/>
        <w:ind w:firstLine="0" w:left="0" w:right="0"/>
      </w:pPr>
      <w:r>
        <w:rPr>
          <w:rFonts w:ascii="Times New Roman" w:hAnsi="Times New Roman" w:eastAsia="Times New Roman" w:cs="Times New Roman"/>
          <w:color w:val="000000"/>
          <w:sz w:val="22"/>
        </w:rPr>
        <w:t>The scenario comparison is a dated snapshot. The workbook selector recalculates the live schedules. Negative continuation DCF values require a restructuring or financing response.</w:t>
      </w:r>
    </w:p>
    <w:p>
      <w:pPr>
        <w:keepNext w:val="0"/>
        <w:widowControl/>
        <w:spacing w:line="276" w:lineRule="auto" w:before="0" w:after="253"/>
        <w:ind w:firstLine="0" w:left="0" w:right="0"/>
      </w:pPr>
      <w:r>
        <w:rPr>
          <w:rFonts w:ascii="Times New Roman" w:hAnsi="Times New Roman" w:eastAsia="Times New Roman" w:cs="Times New Roman"/>
          <w:color w:val="000000"/>
          <w:sz w:val="22"/>
        </w:rPr>
        <w:t>Observed close on 2026-10-05: USD 42.02. Base DCF value before other claims: USD 13.03 per share. This is an illustrative valuation, with claim and dilution limitations shown in the workbook.</w:t>
      </w:r>
    </w:p>
    <w:p>
      <w:pPr>
        <w:pStyle w:val="Heading1"/>
        <w:keepNext/>
        <w:widowControl/>
        <w:spacing w:line="276" w:lineRule="auto" w:before="253" w:after="120"/>
        <w:ind w:firstLine="0" w:left="0" w:right="0"/>
      </w:pPr>
      <w:r>
        <w:rPr>
          <w:rFonts w:ascii="Times New Roman" w:hAnsi="Times New Roman" w:eastAsia="Times New Roman" w:cs="Times New Roman"/>
          <w:b/>
          <w:color w:val="000000"/>
          <w:sz w:val="32"/>
        </w:rPr>
        <w:t>Business and transaction structure</w:t>
      </w:r>
    </w:p>
    <w:p>
      <w:pPr>
        <w:pStyle w:val="Heading2"/>
        <w:keepNext/>
        <w:widowControl/>
        <w:spacing w:line="276" w:lineRule="auto" w:before="253" w:after="120"/>
        <w:ind w:firstLine="0" w:left="0" w:right="0"/>
      </w:pPr>
      <w:r>
        <w:rPr>
          <w:rFonts w:ascii="Times New Roman" w:hAnsi="Times New Roman" w:eastAsia="Times New Roman" w:cs="Times New Roman"/>
          <w:b/>
          <w:color w:val="000000"/>
          <w:sz w:val="28"/>
        </w:rPr>
        <w:t>Segments and procurement</w:t>
      </w:r>
    </w:p>
    <w:p>
      <w:pPr>
        <w:keepNext w:val="0"/>
        <w:widowControl/>
        <w:spacing w:line="276" w:lineRule="auto" w:before="0" w:after="253"/>
        <w:ind w:firstLine="0" w:left="0" w:right="0"/>
      </w:pPr>
      <w:r>
        <w:rPr>
          <w:rFonts w:ascii="Times New Roman" w:hAnsi="Times New Roman" w:eastAsia="Times New Roman" w:cs="Times New Roman"/>
          <w:color w:val="000000"/>
          <w:sz w:val="22"/>
        </w:rPr>
        <w:t>The forecast begins with 2025 reported systems revenue of USD 1,054.8 million and uncrewed-systems revenue of USD 292.0 million. Separate segment growth assumptions feed the total. Funded and unfunded backlog conversion buckets are explicitly analyst scenarios, not reported totals.</w:t>
      </w:r>
    </w:p>
    <w:p>
      <w:pPr>
        <w:pStyle w:val="Heading2"/>
        <w:keepNext/>
        <w:widowControl/>
        <w:spacing w:line="276" w:lineRule="auto" w:before="253" w:after="120"/>
        <w:ind w:firstLine="0" w:left="0" w:right="0"/>
      </w:pPr>
      <w:r>
        <w:rPr>
          <w:rFonts w:ascii="Times New Roman" w:hAnsi="Times New Roman" w:eastAsia="Times New Roman" w:cs="Times New Roman"/>
          <w:b/>
          <w:color w:val="000000"/>
          <w:sz w:val="28"/>
        </w:rPr>
        <w:t>Investment and dilution</w:t>
      </w:r>
    </w:p>
    <w:p>
      <w:pPr>
        <w:keepNext w:val="0"/>
        <w:widowControl/>
        <w:spacing w:line="276" w:lineRule="auto" w:before="0" w:after="253"/>
        <w:ind w:firstLine="0" w:left="0" w:right="0"/>
      </w:pPr>
      <w:r>
        <w:rPr>
          <w:rFonts w:ascii="Times New Roman" w:hAnsi="Times New Roman" w:eastAsia="Times New Roman" w:cs="Times New Roman"/>
          <w:color w:val="000000"/>
          <w:sz w:val="22"/>
        </w:rPr>
        <w:t>The forecast includes capacity capex, cash taxes and stock compensation. Per-share valuation uses the dated share count and a forecast dilution schedule. Procurement delays and lower conversion rates reduce cash flow before debt financing.</w:t>
      </w:r>
    </w:p>
    <w:p>
      <w:pPr>
        <w:pStyle w:val="Heading2"/>
        <w:keepNext/>
        <w:widowControl/>
        <w:spacing w:line="276" w:lineRule="auto" w:before="253" w:after="120"/>
        <w:ind w:firstLine="0" w:left="0" w:right="0"/>
      </w:pPr>
      <w:r>
        <w:rPr>
          <w:rFonts w:ascii="Times New Roman" w:hAnsi="Times New Roman" w:eastAsia="Times New Roman" w:cs="Times New Roman"/>
          <w:b/>
          <w:color w:val="000000"/>
          <w:sz w:val="28"/>
        </w:rPr>
        <w:t>Decision conditions</w:t>
      </w:r>
    </w:p>
    <w:p>
      <w:pPr>
        <w:keepNext w:val="0"/>
        <w:widowControl/>
        <w:spacing w:line="276" w:lineRule="auto" w:before="0" w:after="253"/>
        <w:ind w:firstLine="0" w:left="0" w:right="0"/>
      </w:pPr>
      <w:r>
        <w:rPr>
          <w:rFonts w:ascii="Times New Roman" w:hAnsi="Times New Roman" w:eastAsia="Times New Roman" w:cs="Times New Roman"/>
          <w:color w:val="000000"/>
          <w:sz w:val="22"/>
        </w:rPr>
        <w:t>Reported contracts can be delayed, reduced or terminated. Valuation support requires evidence that autonomy programs convert into funded production and improving margins. The downside tests lower operating growth, weaker margins and greater investment intensity.</w:t>
      </w:r>
    </w:p>
    <w:p>
      <w:pPr>
        <w:pStyle w:val="Heading2"/>
        <w:keepNext/>
        <w:widowControl/>
        <w:spacing w:line="276" w:lineRule="auto" w:before="253" w:after="0"/>
        <w:ind w:firstLine="0" w:left="0" w:right="0"/>
      </w:pPr>
      <w:r>
        <w:rPr>
          <w:rFonts w:ascii="Times New Roman" w:hAnsi="Times New Roman" w:eastAsia="Times New Roman" w:cs="Times New Roman"/>
          <w:b/>
          <w:color w:val="000000"/>
          <w:sz w:val="28"/>
        </w:rPr>
        <w:t>Evidence classes</w:t>
      </w:r>
    </w:p>
    <w:tbl>
      <w:tblPr>
        <w:tblW w:type="dxa" w:w="9360"/>
        <w:jc w:val="center"/>
        <w:tblLayout w:type="fixed"/>
        <w:tblLook w:firstColumn="1" w:firstRow="1" w:lastColumn="0" w:lastRow="0" w:noHBand="0" w:noVBand="1" w:val="04A0"/>
        <w:tblBorders>
          <w:top w:val="single" w:sz="4" w:color="333333"/>
          <w:bottom w:val="single" w:sz="4" w:color="333333"/>
          <w:insideH w:val="single" w:sz="4" w:color="333333"/>
        </w:tblBorders>
      </w:tblPr>
      <w:tblGrid>
        <w:gridCol w:w="3067"/>
        <w:gridCol w:w="6293"/>
      </w:tblGrid>
      <w:tr>
        <w:trPr>
          <w:tblHeader/>
        </w:trPr>
        <w:tc>
          <w:tcPr>
            <w:tcW w:type="dxa" w:w="3067"/>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color w:val="000000"/>
                <w:sz w:val="20"/>
              </w:rPr>
              <w:t>Class</w:t>
            </w:r>
          </w:p>
        </w:tc>
        <w:tc>
          <w:tcPr>
            <w:tcW w:type="dxa" w:w="6293"/>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color w:val="000000"/>
                <w:sz w:val="20"/>
              </w:rPr>
              <w:t>Treatment</w:t>
            </w:r>
          </w:p>
        </w:tc>
      </w:tr>
      <w:tr>
        <w:trPr/>
        <w:tc>
          <w:tcPr>
            <w:tcW w:type="dxa" w:w="3067"/>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Reported fact</w:t>
            </w:r>
          </w:p>
        </w:tc>
        <w:tc>
          <w:tcPr>
            <w:tcW w:type="dxa" w:w="6293"/>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Historical statement figures and dated public disclosures.</w:t>
            </w:r>
          </w:p>
        </w:tc>
      </w:tr>
      <w:tr>
        <w:trPr/>
        <w:tc>
          <w:tcPr>
            <w:tcW w:type="dxa" w:w="3067"/>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Management guidance</w:t>
            </w:r>
          </w:p>
        </w:tc>
        <w:tc>
          <w:tcPr>
            <w:tcW w:type="dxa" w:w="6293"/>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Qualitative outlook reviewed separately from analyst forecasts.</w:t>
            </w:r>
          </w:p>
        </w:tc>
      </w:tr>
      <w:tr>
        <w:trPr/>
        <w:tc>
          <w:tcPr>
            <w:tcW w:type="dxa" w:w="3067"/>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Analyst assumption</w:t>
            </w:r>
          </w:p>
        </w:tc>
        <w:tc>
          <w:tcPr>
            <w:tcW w:type="dxa" w:w="6293"/>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Growth, margins, capital intensity, discount rate and scenario drivers.</w:t>
            </w:r>
          </w:p>
        </w:tc>
      </w:tr>
      <w:tr>
        <w:trPr/>
        <w:tc>
          <w:tcPr>
            <w:tcW w:type="dxa" w:w="3067"/>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Hypothetical terms</w:t>
            </w:r>
          </w:p>
        </w:tc>
        <w:tc>
          <w:tcPr>
            <w:tcW w:type="dxa" w:w="6293"/>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Financing, sponsor ownership, fees, covenants and recovery assumptions.</w:t>
            </w:r>
          </w:p>
        </w:tc>
      </w:tr>
      <w:tr>
        <w:trPr/>
        <w:tc>
          <w:tcPr>
            <w:tcW w:type="dxa" w:w="3067"/>
            <w:vAlign w:val="center"/>
            <w:tcMar>
              <w:top w:w="85" w:type="dxa"/>
              <w:bottom w:w="85" w:type="dxa"/>
              <w:left w:w="85" w:type="dxa"/>
              <w:right w:w="85" w:type="dxa"/>
            </w:tcMar>
          </w:tcPr>
          <w:p>
            <w:pPr>
              <w:keepNext w:val="0"/>
              <w:spacing w:after="60" w:before="60" w:line="240" w:lineRule="auto"/>
              <w:ind w:firstLine="0"/>
            </w:pPr>
            <w:r>
              <w:rPr>
                <w:rFonts w:ascii="Times New Roman" w:hAnsi="Times New Roman" w:eastAsia="Times New Roman" w:cs="Times New Roman"/>
                <w:b w:val="0"/>
                <w:color w:val="000000"/>
                <w:sz w:val="20"/>
              </w:rPr>
              <w:t>Synthetic record</w:t>
            </w:r>
          </w:p>
        </w:tc>
        <w:tc>
          <w:tcPr>
            <w:tcW w:type="dxa" w:w="6293"/>
            <w:vAlign w:val="center"/>
            <w:tcMar>
              <w:top w:w="85" w:type="dxa"/>
              <w:bottom w:w="85" w:type="dxa"/>
              <w:left w:w="85" w:type="dxa"/>
              <w:right w:w="85" w:type="dxa"/>
            </w:tcMar>
          </w:tcPr>
          <w:p>
            <w:pPr>
              <w:keepNext w:val="0"/>
              <w:spacing w:after="60" w:before="60" w:line="240" w:lineRule="auto"/>
              <w:ind w:firstLine="0"/>
            </w:pPr>
            <w:r>
              <w:rPr>
                <w:rFonts w:ascii="Times New Roman" w:hAnsi="Times New Roman" w:eastAsia="Times New Roman" w:cs="Times New Roman"/>
                <w:b w:val="0"/>
                <w:color w:val="000000"/>
                <w:sz w:val="20"/>
              </w:rPr>
              <w:t>All private-startup financial history, customer accounts and staffing economics.</w:t>
            </w:r>
          </w:p>
        </w:tc>
      </w:tr>
    </w:tbl>
    <w:p>
      <w:pPr>
        <w:spacing w:before="0" w:after="0" w:line="253" w:lineRule="exact"/>
      </w:pPr>
    </w:p>
    <w:p>
      <w:pPr>
        <w:keepNext w:val="0"/>
        <w:widowControl/>
        <w:spacing w:line="276" w:lineRule="auto" w:before="0" w:after="253"/>
        <w:ind w:firstLine="0" w:left="0" w:right="0"/>
      </w:pPr>
      <w:r>
        <w:rPr>
          <w:rFonts w:ascii="Times New Roman" w:hAnsi="Times New Roman" w:eastAsia="Times New Roman" w:cs="Times New Roman"/>
          <w:color w:val="000000"/>
          <w:sz w:val="22"/>
        </w:rPr>
        <w:t>Historical cutoff: 2025-12-28. Latest quarterly disclosure reviewed: 2026-06-28. Information cutoff: 6 October 2026. Models calculate from saved inputs without network calls.</w:t>
      </w:r>
    </w:p>
    <w:p>
      <w:pPr>
        <w:pStyle w:val="Heading1"/>
        <w:keepNext/>
        <w:widowControl/>
        <w:spacing w:line="276" w:lineRule="auto" w:before="253" w:after="0"/>
        <w:ind w:firstLine="0" w:left="0" w:right="0"/>
      </w:pPr>
      <w:r>
        <w:rPr>
          <w:rFonts w:ascii="Times New Roman" w:hAnsi="Times New Roman" w:eastAsia="Times New Roman" w:cs="Times New Roman"/>
          <w:b/>
          <w:color w:val="000000"/>
          <w:sz w:val="32"/>
        </w:rPr>
        <w:t>Investment considerations and monitoring</w:t>
      </w:r>
    </w:p>
    <w:tbl>
      <w:tblPr>
        <w:tblW w:type="dxa" w:w="9360"/>
        <w:jc w:val="center"/>
        <w:tblLayout w:type="fixed"/>
        <w:tblLook w:firstColumn="1" w:firstRow="1" w:lastColumn="0" w:lastRow="0" w:noHBand="0" w:noVBand="1" w:val="04A0"/>
        <w:tblBorders>
          <w:top w:val="single" w:sz="4" w:color="333333"/>
          <w:bottom w:val="single" w:sz="4" w:color="333333"/>
          <w:insideH w:val="single" w:sz="4" w:color="333333"/>
        </w:tblBorders>
      </w:tblPr>
      <w:tblGrid>
        <w:gridCol w:w="4578"/>
        <w:gridCol w:w="4782"/>
      </w:tblGrid>
      <w:tr>
        <w:trPr>
          <w:tblHeader/>
        </w:trPr>
        <w:tc>
          <w:tcPr>
            <w:tcW w:type="dxa" w:w="4578"/>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color w:val="000000"/>
                <w:sz w:val="20"/>
              </w:rPr>
              <w:t>Principal risk</w:t>
            </w:r>
          </w:p>
        </w:tc>
        <w:tc>
          <w:tcPr>
            <w:tcW w:type="dxa" w:w="4782"/>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color w:val="000000"/>
                <w:sz w:val="20"/>
              </w:rPr>
              <w:t>Monitoring action</w:t>
            </w:r>
          </w:p>
        </w:tc>
      </w:tr>
      <w:tr>
        <w:trPr/>
        <w:tc>
          <w:tcPr>
            <w:tcW w:type="dxa" w:w="4578"/>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Unfunded backlog is exposed to appropriations and contract timing.</w:t>
            </w:r>
          </w:p>
        </w:tc>
        <w:tc>
          <w:tcPr>
            <w:tcW w:type="dxa" w:w="4782"/>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Track funded awards, deliveries and government appropriations.</w:t>
            </w:r>
          </w:p>
        </w:tc>
      </w:tr>
      <w:tr>
        <w:trPr/>
        <w:tc>
          <w:tcPr>
            <w:tcW w:type="dxa" w:w="4578"/>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Production investment precedes cash recovery.</w:t>
            </w:r>
          </w:p>
        </w:tc>
        <w:tc>
          <w:tcPr>
            <w:tcW w:type="dxa" w:w="4782"/>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Reconcile segment margins with capacity utilization.</w:t>
            </w:r>
          </w:p>
        </w:tc>
      </w:tr>
      <w:tr>
        <w:trPr/>
        <w:tc>
          <w:tcPr>
            <w:tcW w:type="dxa" w:w="4578"/>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Stock compensation and equity financing dilute per-share outcomes.</w:t>
            </w:r>
          </w:p>
        </w:tc>
        <w:tc>
          <w:tcPr>
            <w:tcW w:type="dxa" w:w="4782"/>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Monitor capex and receivables against cash generation.</w:t>
            </w:r>
          </w:p>
        </w:tc>
      </w:tr>
      <w:tr>
        <w:trPr/>
        <w:tc>
          <w:tcPr>
            <w:tcW w:type="dxa" w:w="4578"/>
            <w:vAlign w:val="center"/>
            <w:tcMar>
              <w:top w:w="85" w:type="dxa"/>
              <w:bottom w:w="85" w:type="dxa"/>
              <w:left w:w="85" w:type="dxa"/>
              <w:right w:w="85" w:type="dxa"/>
            </w:tcMar>
          </w:tcPr>
          <w:p>
            <w:pPr>
              <w:keepNext w:val="0"/>
              <w:spacing w:after="60" w:before="60" w:line="240" w:lineRule="auto"/>
              <w:ind w:firstLine="0"/>
            </w:pPr>
            <w:r>
              <w:rPr>
                <w:rFonts w:ascii="Times New Roman" w:hAnsi="Times New Roman" w:eastAsia="Times New Roman" w:cs="Times New Roman"/>
                <w:b w:val="0"/>
                <w:color w:val="000000"/>
                <w:sz w:val="20"/>
              </w:rPr>
              <w:t>Program concentration creates binary procurement risk.</w:t>
            </w:r>
          </w:p>
        </w:tc>
        <w:tc>
          <w:tcPr>
            <w:tcW w:type="dxa" w:w="4782"/>
            <w:vAlign w:val="center"/>
            <w:tcMar>
              <w:top w:w="85" w:type="dxa"/>
              <w:bottom w:w="85" w:type="dxa"/>
              <w:left w:w="85" w:type="dxa"/>
              <w:right w:w="85" w:type="dxa"/>
            </w:tcMar>
          </w:tcPr>
          <w:p>
            <w:pPr>
              <w:keepNext w:val="0"/>
              <w:spacing w:after="60" w:before="60" w:line="240" w:lineRule="auto"/>
              <w:ind w:firstLine="0"/>
            </w:pPr>
            <w:r>
              <w:rPr>
                <w:rFonts w:ascii="Times New Roman" w:hAnsi="Times New Roman" w:eastAsia="Times New Roman" w:cs="Times New Roman"/>
                <w:b w:val="0"/>
                <w:color w:val="000000"/>
                <w:sz w:val="20"/>
              </w:rPr>
              <w:t>Break the thesis if funded conversion and margins miss for two quarters.</w:t>
            </w:r>
          </w:p>
        </w:tc>
      </w:tr>
    </w:tbl>
    <w:p>
      <w:pPr>
        <w:spacing w:before="0" w:after="0" w:line="253" w:lineRule="exact"/>
      </w:pPr>
    </w:p>
    <w:p>
      <w:pPr>
        <w:pStyle w:val="Heading2"/>
        <w:keepNext/>
        <w:widowControl/>
        <w:spacing w:line="276" w:lineRule="auto" w:before="253" w:after="120"/>
        <w:ind w:firstLine="0" w:left="0" w:right="0"/>
      </w:pPr>
      <w:r>
        <w:rPr>
          <w:rFonts w:ascii="Times New Roman" w:hAnsi="Times New Roman" w:eastAsia="Times New Roman" w:cs="Times New Roman"/>
          <w:b/>
          <w:color w:val="000000"/>
          <w:sz w:val="28"/>
        </w:rPr>
        <w:t>Model checks</w:t>
      </w:r>
    </w:p>
    <w:p>
      <w:pPr>
        <w:keepNext w:val="0"/>
        <w:widowControl/>
        <w:spacing w:line="276" w:lineRule="auto" w:before="0" w:after="253"/>
        <w:ind w:firstLine="0" w:left="0" w:right="0"/>
      </w:pPr>
      <w:r>
        <w:rPr>
          <w:rFonts w:ascii="Times New Roman" w:hAnsi="Times New Roman" w:eastAsia="Times New Roman" w:cs="Times New Roman"/>
          <w:color w:val="000000"/>
          <w:sz w:val="22"/>
        </w:rPr>
        <w:t>The workbook includes independent balance-sheet, cash and debt roll-forward checks. Valuation sensitivities calculate from projected cash flows. Covenant breaches and cash shortfalls remain visible economic findings. Original historical statement mappings and differences are maintained outside the public portfolio.</w:t>
      </w:r>
    </w:p>
    <w:p>
      <w:pPr>
        <w:pStyle w:val="Heading2"/>
        <w:keepNext/>
        <w:widowControl/>
        <w:spacing w:line="276" w:lineRule="auto" w:before="253" w:after="120"/>
        <w:ind w:firstLine="0" w:left="0" w:right="0"/>
      </w:pPr>
      <w:r>
        <w:rPr>
          <w:rFonts w:ascii="Times New Roman" w:hAnsi="Times New Roman" w:eastAsia="Times New Roman" w:cs="Times New Roman"/>
          <w:b/>
          <w:color w:val="000000"/>
          <w:sz w:val="28"/>
        </w:rPr>
        <w:t>Decision conditions</w:t>
      </w:r>
    </w:p>
    <w:p>
      <w:pPr>
        <w:keepNext w:val="0"/>
        <w:widowControl/>
        <w:spacing w:line="276" w:lineRule="auto" w:before="0" w:after="253"/>
        <w:ind w:firstLine="0" w:left="0" w:right="0"/>
      </w:pPr>
      <w:r>
        <w:rPr>
          <w:rFonts w:ascii="Times New Roman" w:hAnsi="Times New Roman" w:eastAsia="Times New Roman" w:cs="Times New Roman"/>
          <w:color w:val="000000"/>
          <w:sz w:val="22"/>
        </w:rPr>
        <w:t>The base DCF is USD 13.03 per share versus USD 42.02 observed. Current assumptions do not support the price. Revisit on funded production awards and demonstrated cash conversion.</w:t>
      </w:r>
    </w:p>
    <w:sectPr w:rsidR="00FC693F" w:rsidRPr="0006063C" w:rsidSect="00034616">
      <w:headerReference w:type="default" r:id="rId9"/>
      <w:footerReference w:type="default" r:id="rId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0"/>
      <w:jc w:val="right"/>
    </w:pPr>
    <w:r>
      <w:rPr>
        <w:rFonts w:ascii="Times New Roman" w:hAnsi="Times New Roman" w:eastAsia="Times New Roman" w:cs="Times New Roman"/>
        <w:color w:val="000000"/>
        <w:sz w:val="18"/>
      </w:rPr>
      <w:t xml:space="preserve">Eshan Mukherjee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0"/>
    </w:pPr>
    <w:r>
      <w:rPr>
        <w:rFonts w:ascii="Times New Roman" w:hAnsi="Times New Roman" w:eastAsia="Times New Roman" w:cs="Times New Roman"/>
        <w:color w:val="000000"/>
        <w:sz w:val="18"/>
      </w:rPr>
      <w:t>Defense Technology Supplier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253" w:line="276" w:lineRule="auto" w:before="0"/>
      <w:ind w:firstLine="0"/>
    </w:pPr>
    <w:rPr>
      <w:rFonts w:ascii="Times New Roman" w:hAnsi="Times New Roman"/>
      <w:color w:val="000000"/>
      <w:sz w:val="22"/>
    </w:rPr>
  </w:style>
  <w:style w:type="paragraph" w:styleId="Header">
    <w:name w:val="header"/>
    <w:basedOn w:val="Normal"/>
    <w:link w:val="HeaderChar"/>
    <w:uiPriority w:val="99"/>
    <w:unhideWhenUsed/>
    <w:rsid w:val="00E618BF"/>
    <w:pPr>
      <w:widowControl/>
      <w:tabs>
        <w:tab w:val="center" w:pos="4680"/>
        <w:tab w:val="right" w:pos="9360"/>
      </w:tabs>
      <w:spacing w:after="253" w:line="276" w:lineRule="auto" w:before="0"/>
      <w:ind w:firstLine="0"/>
    </w:pPr>
    <w:rPr>
      <w:rFonts w:ascii="Times New Roman" w:hAnsi="Times New Roman"/>
      <w:color w:val="000000"/>
      <w:sz w:val="22"/>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widowControl/>
      <w:tabs>
        <w:tab w:val="center" w:pos="4680"/>
        <w:tab w:val="right" w:pos="9360"/>
      </w:tabs>
      <w:spacing w:after="253" w:line="276" w:lineRule="auto" w:before="0"/>
      <w:ind w:firstLine="0"/>
    </w:pPr>
    <w:rPr>
      <w:rFonts w:ascii="Times New Roman" w:hAnsi="Times New Roman"/>
      <w:color w:val="000000"/>
      <w:sz w:val="22"/>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53" w:after="120" w:line="276" w:lineRule="auto"/>
      <w:ind w:firstLine="0"/>
      <w:outlineLvl w:val="0"/>
    </w:pPr>
    <w:rPr>
      <w:rFonts w:asciiTheme="majorHAnsi" w:eastAsiaTheme="majorEastAsia" w:hAnsiTheme="majorHAnsi" w:cstheme="majorBidi" w:ascii="Times New Roman" w:hAnsi="Times New Roman"/>
      <w:b/>
      <w:bCs/>
      <w:color w:val="000000"/>
      <w:sz w:val="32"/>
      <w:szCs w:val="28"/>
    </w:rPr>
  </w:style>
  <w:style w:type="paragraph" w:styleId="Heading2">
    <w:name w:val="heading 2"/>
    <w:basedOn w:val="Normal"/>
    <w:next w:val="Normal"/>
    <w:link w:val="Heading2Char"/>
    <w:uiPriority w:val="9"/>
    <w:unhideWhenUsed/>
    <w:qFormat/>
    <w:rsid w:val="00FC693F"/>
    <w:pPr>
      <w:keepNext/>
      <w:keepLines/>
      <w:widowControl/>
      <w:spacing w:before="253" w:after="120" w:line="276" w:lineRule="auto"/>
      <w:ind w:firstLine="0"/>
      <w:outlineLvl w:val="1"/>
    </w:pPr>
    <w:rPr>
      <w:rFonts w:asciiTheme="majorHAnsi" w:eastAsiaTheme="majorEastAsia" w:hAnsiTheme="majorHAnsi" w:cstheme="majorBidi" w:ascii="Times New Roman" w:hAnsi="Times New Roman"/>
      <w:b/>
      <w:bCs/>
      <w:color w:val="000000"/>
      <w:sz w:val="28"/>
      <w:szCs w:val="26"/>
    </w:rPr>
  </w:style>
  <w:style w:type="paragraph" w:styleId="Heading3">
    <w:name w:val="heading 3"/>
    <w:basedOn w:val="Normal"/>
    <w:next w:val="Normal"/>
    <w:link w:val="Heading3Char"/>
    <w:uiPriority w:val="9"/>
    <w:unhideWhenUsed/>
    <w:qFormat/>
    <w:rsid w:val="00FC693F"/>
    <w:pPr>
      <w:keepNext/>
      <w:keepLines/>
      <w:widowControl/>
      <w:spacing w:before="253" w:after="120" w:line="276" w:lineRule="auto"/>
      <w:ind w:firstLine="0"/>
      <w:outlineLvl w:val="2"/>
    </w:pPr>
    <w:rPr>
      <w:rFonts w:asciiTheme="majorHAnsi" w:eastAsiaTheme="majorEastAsia" w:hAnsiTheme="majorHAnsi" w:cstheme="majorBidi" w:ascii="Times New Roman" w:hAnsi="Times New Roman"/>
      <w:b/>
      <w:bCs/>
      <w:color w:val="000000"/>
      <w:sz w:val="28"/>
    </w:rPr>
  </w:style>
  <w:style w:type="paragraph" w:styleId="Heading4">
    <w:name w:val="heading 4"/>
    <w:basedOn w:val="Normal"/>
    <w:next w:val="Normal"/>
    <w:link w:val="Heading4Char"/>
    <w:uiPriority w:val="9"/>
    <w:semiHidden/>
    <w:unhideWhenUsed/>
    <w:qFormat/>
    <w:rsid w:val="00FC693F"/>
    <w:pPr>
      <w:keepNext/>
      <w:keepLines/>
      <w:widowControl/>
      <w:spacing w:before="0" w:after="253" w:line="276" w:lineRule="auto"/>
      <w:ind w:firstLine="0"/>
      <w:outlineLvl w:val="3"/>
    </w:pPr>
    <w:rPr>
      <w:rFonts w:asciiTheme="majorHAnsi" w:eastAsiaTheme="majorEastAsia" w:hAnsiTheme="majorHAnsi" w:cstheme="majorBidi" w:ascii="Times New Roman" w:hAnsi="Times New Roman"/>
      <w:b/>
      <w:bCs/>
      <w:i/>
      <w:iCs/>
      <w:color w:val="000000"/>
      <w:sz w:val="22"/>
    </w:rPr>
  </w:style>
  <w:style w:type="paragraph" w:styleId="Heading5">
    <w:name w:val="heading 5"/>
    <w:basedOn w:val="Normal"/>
    <w:next w:val="Normal"/>
    <w:link w:val="Heading5Char"/>
    <w:uiPriority w:val="9"/>
    <w:semiHidden/>
    <w:unhideWhenUsed/>
    <w:qFormat/>
    <w:rsid w:val="00FC693F"/>
    <w:pPr>
      <w:keepNext/>
      <w:keepLines/>
      <w:widowControl/>
      <w:spacing w:before="0" w:after="253" w:line="276" w:lineRule="auto"/>
      <w:ind w:firstLine="0"/>
      <w:outlineLvl w:val="4"/>
    </w:pPr>
    <w:rPr>
      <w:rFonts w:asciiTheme="majorHAnsi" w:eastAsiaTheme="majorEastAsia" w:hAnsiTheme="majorHAnsi" w:cstheme="majorBidi" w:ascii="Times New Roman" w:hAnsi="Times New Roman"/>
      <w:color w:val="000000"/>
      <w:sz w:val="22"/>
    </w:rPr>
  </w:style>
  <w:style w:type="paragraph" w:styleId="Heading6">
    <w:name w:val="heading 6"/>
    <w:basedOn w:val="Normal"/>
    <w:next w:val="Normal"/>
    <w:link w:val="Heading6Char"/>
    <w:uiPriority w:val="9"/>
    <w:semiHidden/>
    <w:unhideWhenUsed/>
    <w:qFormat/>
    <w:rsid w:val="00FC693F"/>
    <w:pPr>
      <w:keepNext/>
      <w:keepLines/>
      <w:widowControl/>
      <w:spacing w:before="0" w:after="253" w:line="276" w:lineRule="auto"/>
      <w:ind w:firstLine="0"/>
      <w:outlineLvl w:val="5"/>
    </w:pPr>
    <w:rPr>
      <w:rFonts w:asciiTheme="majorHAnsi" w:eastAsiaTheme="majorEastAsia" w:hAnsiTheme="majorHAnsi" w:cstheme="majorBidi" w:ascii="Times New Roman" w:hAnsi="Times New Roman"/>
      <w:i/>
      <w:iCs/>
      <w:color w:val="000000"/>
      <w:sz w:val="22"/>
    </w:rPr>
  </w:style>
  <w:style w:type="paragraph" w:styleId="Heading7">
    <w:name w:val="heading 7"/>
    <w:basedOn w:val="Normal"/>
    <w:next w:val="Normal"/>
    <w:link w:val="Heading7Char"/>
    <w:uiPriority w:val="9"/>
    <w:semiHidden/>
    <w:unhideWhenUsed/>
    <w:qFormat/>
    <w:rsid w:val="00FC693F"/>
    <w:pPr>
      <w:keepNext/>
      <w:keepLines/>
      <w:widowControl/>
      <w:spacing w:before="0" w:after="253" w:line="276" w:lineRule="auto"/>
      <w:ind w:firstLine="0"/>
      <w:outlineLvl w:val="6"/>
    </w:pPr>
    <w:rPr>
      <w:rFonts w:asciiTheme="majorHAnsi" w:eastAsiaTheme="majorEastAsia" w:hAnsiTheme="majorHAnsi" w:cstheme="majorBidi" w:ascii="Times New Roman" w:hAnsi="Times New Roman"/>
      <w:i/>
      <w:iCs/>
      <w:color w:val="000000"/>
      <w:sz w:val="22"/>
    </w:rPr>
  </w:style>
  <w:style w:type="paragraph" w:styleId="Heading8">
    <w:name w:val="heading 8"/>
    <w:basedOn w:val="Normal"/>
    <w:next w:val="Normal"/>
    <w:link w:val="Heading8Char"/>
    <w:uiPriority w:val="9"/>
    <w:semiHidden/>
    <w:unhideWhenUsed/>
    <w:qFormat/>
    <w:rsid w:val="00FC693F"/>
    <w:pPr>
      <w:keepNext/>
      <w:keepLines/>
      <w:widowControl/>
      <w:spacing w:before="0" w:after="253" w:line="276" w:lineRule="auto"/>
      <w:ind w:firstLine="0"/>
      <w:outlineLvl w:val="7"/>
    </w:pPr>
    <w:rPr>
      <w:rFonts w:asciiTheme="majorHAnsi" w:eastAsiaTheme="majorEastAsia" w:hAnsiTheme="majorHAnsi" w:cstheme="majorBidi" w:ascii="Times New Roman" w:hAnsi="Times New Roman"/>
      <w:color w:val="000000"/>
      <w:sz w:val="22"/>
      <w:szCs w:val="20"/>
    </w:rPr>
  </w:style>
  <w:style w:type="paragraph" w:styleId="Heading9">
    <w:name w:val="heading 9"/>
    <w:basedOn w:val="Normal"/>
    <w:next w:val="Normal"/>
    <w:link w:val="Heading9Char"/>
    <w:uiPriority w:val="9"/>
    <w:semiHidden/>
    <w:unhideWhenUsed/>
    <w:qFormat/>
    <w:rsid w:val="00FC693F"/>
    <w:pPr>
      <w:keepNext/>
      <w:keepLines/>
      <w:widowControl/>
      <w:spacing w:before="0" w:after="253" w:line="276" w:lineRule="auto"/>
      <w:ind w:firstLine="0"/>
      <w:outlineLvl w:val="8"/>
    </w:pPr>
    <w:rPr>
      <w:rFonts w:asciiTheme="majorHAnsi" w:eastAsiaTheme="majorEastAsia" w:hAnsiTheme="majorHAnsi" w:cstheme="majorBidi" w:ascii="Times New Roman" w:hAnsi="Times New Roman"/>
      <w:i/>
      <w:iCs/>
      <w:color w:val="00000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widowControl/>
      <w:spacing w:after="253" w:line="276" w:lineRule="auto" w:before="0"/>
      <w:ind w:firstLine="0"/>
    </w:pPr>
    <w:rPr>
      <w:rFonts w:ascii="Times New Roman" w:hAnsi="Times New Roman"/>
      <w:color w:val="000000"/>
      <w:sz w:val="22"/>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253" w:line="276" w:lineRule="auto" w:before="0"/>
      <w:ind w:firstLine="0"/>
      <w:contextualSpacing/>
    </w:pPr>
    <w:rPr>
      <w:rFonts w:asciiTheme="majorHAnsi" w:eastAsiaTheme="majorEastAsia" w:hAnsiTheme="majorHAnsi" w:cstheme="majorBidi" w:ascii="Times New Roman" w:hAnsi="Times New Roman"/>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val="0"/>
      <w:widowControl/>
      <w:numPr>
        <w:ilvl w:val="1"/>
      </w:numPr>
      <w:spacing w:line="276" w:lineRule="auto" w:before="0" w:after="253"/>
      <w:ind w:firstLine="0"/>
    </w:pPr>
    <w:rPr>
      <w:rFonts w:asciiTheme="majorHAnsi" w:eastAsiaTheme="majorEastAsia" w:hAnsiTheme="majorHAnsi" w:cstheme="majorBidi" w:ascii="Times New Roman" w:hAnsi="Times New Roman"/>
      <w:b w:val="0"/>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widowControl/>
      <w:spacing w:line="276" w:lineRule="auto" w:before="0" w:after="253"/>
      <w:ind w:left="720" w:firstLine="0"/>
      <w:contextualSpacing/>
    </w:pPr>
    <w:rPr>
      <w:rFonts w:ascii="Times New Roman" w:hAnsi="Times New Roman"/>
      <w:color w:val="000000"/>
      <w:sz w:val="22"/>
    </w:rPr>
  </w:style>
  <w:style w:type="paragraph" w:styleId="BodyText">
    <w:name w:val="Body Text"/>
    <w:basedOn w:val="Normal"/>
    <w:link w:val="BodyTextChar"/>
    <w:uiPriority w:val="99"/>
    <w:unhideWhenUsed/>
    <w:rsid w:val="00AA1D8D"/>
    <w:pPr>
      <w:widowControl/>
      <w:spacing w:after="253" w:line="276" w:lineRule="auto" w:before="0"/>
      <w:ind w:firstLine="0"/>
    </w:pPr>
    <w:rPr>
      <w:rFonts w:ascii="Times New Roman" w:hAnsi="Times New Roman"/>
      <w:color w:val="000000"/>
      <w:sz w:val="22"/>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widowControl/>
      <w:spacing w:after="253" w:line="276" w:lineRule="auto" w:before="0"/>
      <w:ind w:firstLine="0"/>
    </w:pPr>
    <w:rPr>
      <w:rFonts w:ascii="Times New Roman" w:hAnsi="Times New Roman"/>
      <w:color w:val="000000"/>
      <w:sz w:val="22"/>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widowControl/>
      <w:spacing w:after="253" w:line="276" w:lineRule="auto" w:before="0"/>
      <w:ind w:firstLine="0"/>
    </w:pPr>
    <w:rPr>
      <w:rFonts w:ascii="Times New Roman" w:hAnsi="Times New Roman"/>
      <w:color w:val="000000"/>
      <w:sz w:val="22"/>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widowControl/>
      <w:spacing w:line="276" w:lineRule="auto" w:before="0" w:after="253"/>
      <w:ind w:left="360" w:firstLine="0"/>
      <w:contextualSpacing/>
    </w:pPr>
    <w:rPr>
      <w:rFonts w:ascii="Times New Roman" w:hAnsi="Times New Roman"/>
      <w:color w:val="000000"/>
      <w:sz w:val="22"/>
    </w:rPr>
  </w:style>
  <w:style w:type="paragraph" w:styleId="List2">
    <w:name w:val="List 2"/>
    <w:basedOn w:val="Normal"/>
    <w:uiPriority w:val="99"/>
    <w:unhideWhenUsed/>
    <w:rsid w:val="00326F90"/>
    <w:pPr>
      <w:widowControl/>
      <w:spacing w:line="276" w:lineRule="auto" w:before="0" w:after="253"/>
      <w:ind w:left="720" w:firstLine="0"/>
      <w:contextualSpacing/>
    </w:pPr>
    <w:rPr>
      <w:rFonts w:ascii="Times New Roman" w:hAnsi="Times New Roman"/>
      <w:color w:val="000000"/>
      <w:sz w:val="22"/>
    </w:rPr>
  </w:style>
  <w:style w:type="paragraph" w:styleId="List3">
    <w:name w:val="List 3"/>
    <w:basedOn w:val="Normal"/>
    <w:uiPriority w:val="99"/>
    <w:unhideWhenUsed/>
    <w:rsid w:val="00326F90"/>
    <w:pPr>
      <w:widowControl/>
      <w:spacing w:line="276" w:lineRule="auto" w:before="0" w:after="253"/>
      <w:ind w:left="1080" w:firstLine="0"/>
      <w:contextualSpacing/>
    </w:pPr>
    <w:rPr>
      <w:rFonts w:ascii="Times New Roman" w:hAnsi="Times New Roman"/>
      <w:color w:val="000000"/>
      <w:sz w:val="22"/>
    </w:rPr>
  </w:style>
  <w:style w:type="paragraph" w:styleId="ListBullet">
    <w:name w:val="List Bullet"/>
    <w:basedOn w:val="Normal"/>
    <w:uiPriority w:val="99"/>
    <w:unhideWhenUsed/>
    <w:rsid w:val="00326F90"/>
    <w:pPr>
      <w:widowControl/>
      <w:numPr>
        <w:numId w:val="1"/>
      </w:numPr>
      <w:spacing w:line="276" w:lineRule="auto" w:before="0" w:after="253"/>
      <w:ind w:firstLine="0"/>
      <w:contextualSpacing/>
    </w:pPr>
    <w:rPr>
      <w:rFonts w:ascii="Times New Roman" w:hAnsi="Times New Roman"/>
      <w:color w:val="000000"/>
      <w:sz w:val="22"/>
    </w:rPr>
  </w:style>
  <w:style w:type="paragraph" w:styleId="ListBullet2">
    <w:name w:val="List Bullet 2"/>
    <w:basedOn w:val="Normal"/>
    <w:uiPriority w:val="99"/>
    <w:unhideWhenUsed/>
    <w:rsid w:val="00326F90"/>
    <w:pPr>
      <w:widowControl/>
      <w:numPr>
        <w:numId w:val="2"/>
      </w:numPr>
      <w:spacing w:line="276" w:lineRule="auto" w:before="0" w:after="253"/>
      <w:ind w:firstLine="0"/>
      <w:contextualSpacing/>
    </w:pPr>
    <w:rPr>
      <w:rFonts w:ascii="Times New Roman" w:hAnsi="Times New Roman"/>
      <w:color w:val="000000"/>
      <w:sz w:val="22"/>
    </w:rPr>
  </w:style>
  <w:style w:type="paragraph" w:styleId="ListBullet3">
    <w:name w:val="List Bullet 3"/>
    <w:basedOn w:val="Normal"/>
    <w:uiPriority w:val="99"/>
    <w:unhideWhenUsed/>
    <w:rsid w:val="00326F90"/>
    <w:pPr>
      <w:widowControl/>
      <w:numPr>
        <w:numId w:val="3"/>
      </w:numPr>
      <w:spacing w:line="276" w:lineRule="auto" w:before="0" w:after="253"/>
      <w:ind w:firstLine="0"/>
      <w:contextualSpacing/>
    </w:pPr>
    <w:rPr>
      <w:rFonts w:ascii="Times New Roman" w:hAnsi="Times New Roman"/>
      <w:color w:val="000000"/>
      <w:sz w:val="22"/>
    </w:rPr>
  </w:style>
  <w:style w:type="paragraph" w:styleId="ListNumber">
    <w:name w:val="List Number"/>
    <w:basedOn w:val="Normal"/>
    <w:uiPriority w:val="99"/>
    <w:unhideWhenUsed/>
    <w:rsid w:val="00326F90"/>
    <w:pPr>
      <w:widowControl/>
      <w:numPr>
        <w:numId w:val="5"/>
      </w:numPr>
      <w:spacing w:line="276" w:lineRule="auto" w:before="0" w:after="253"/>
      <w:ind w:firstLine="0"/>
      <w:contextualSpacing/>
    </w:pPr>
    <w:rPr>
      <w:rFonts w:ascii="Times New Roman" w:hAnsi="Times New Roman"/>
      <w:color w:val="000000"/>
      <w:sz w:val="22"/>
    </w:rPr>
  </w:style>
  <w:style w:type="paragraph" w:styleId="ListNumber2">
    <w:name w:val="List Number 2"/>
    <w:basedOn w:val="Normal"/>
    <w:uiPriority w:val="99"/>
    <w:unhideWhenUsed/>
    <w:rsid w:val="0029639D"/>
    <w:pPr>
      <w:widowControl/>
      <w:numPr>
        <w:numId w:val="6"/>
      </w:numPr>
      <w:spacing w:line="276" w:lineRule="auto" w:before="0" w:after="253"/>
      <w:ind w:firstLine="0"/>
      <w:contextualSpacing/>
    </w:pPr>
    <w:rPr>
      <w:rFonts w:ascii="Times New Roman" w:hAnsi="Times New Roman"/>
      <w:color w:val="000000"/>
      <w:sz w:val="22"/>
    </w:rPr>
  </w:style>
  <w:style w:type="paragraph" w:styleId="ListNumber3">
    <w:name w:val="List Number 3"/>
    <w:basedOn w:val="Normal"/>
    <w:uiPriority w:val="99"/>
    <w:unhideWhenUsed/>
    <w:rsid w:val="0029639D"/>
    <w:pPr>
      <w:widowControl/>
      <w:numPr>
        <w:numId w:val="7"/>
      </w:numPr>
      <w:spacing w:line="276" w:lineRule="auto" w:before="0" w:after="253"/>
      <w:ind w:firstLine="0"/>
      <w:contextualSpacing/>
    </w:pPr>
    <w:rPr>
      <w:rFonts w:ascii="Times New Roman" w:hAnsi="Times New Roman"/>
      <w:color w:val="000000"/>
      <w:sz w:val="22"/>
    </w:rPr>
  </w:style>
  <w:style w:type="paragraph" w:styleId="ListContinue">
    <w:name w:val="List Continue"/>
    <w:basedOn w:val="Normal"/>
    <w:uiPriority w:val="99"/>
    <w:unhideWhenUsed/>
    <w:rsid w:val="0029639D"/>
    <w:pPr>
      <w:widowControl/>
      <w:spacing w:after="253" w:line="276" w:lineRule="auto" w:before="0"/>
      <w:ind w:left="360" w:firstLine="0"/>
      <w:contextualSpacing/>
    </w:pPr>
    <w:rPr>
      <w:rFonts w:ascii="Times New Roman" w:hAnsi="Times New Roman"/>
      <w:color w:val="000000"/>
      <w:sz w:val="22"/>
    </w:rPr>
  </w:style>
  <w:style w:type="paragraph" w:styleId="ListContinue2">
    <w:name w:val="List Continue 2"/>
    <w:basedOn w:val="Normal"/>
    <w:uiPriority w:val="99"/>
    <w:unhideWhenUsed/>
    <w:rsid w:val="0029639D"/>
    <w:pPr>
      <w:widowControl/>
      <w:spacing w:after="253" w:line="276" w:lineRule="auto" w:before="0"/>
      <w:ind w:left="720" w:firstLine="0"/>
      <w:contextualSpacing/>
    </w:pPr>
    <w:rPr>
      <w:rFonts w:ascii="Times New Roman" w:hAnsi="Times New Roman"/>
      <w:color w:val="000000"/>
      <w:sz w:val="22"/>
    </w:rPr>
  </w:style>
  <w:style w:type="paragraph" w:styleId="ListContinue3">
    <w:name w:val="List Continue 3"/>
    <w:basedOn w:val="Normal"/>
    <w:uiPriority w:val="99"/>
    <w:unhideWhenUsed/>
    <w:rsid w:val="0029639D"/>
    <w:pPr>
      <w:widowControl/>
      <w:spacing w:after="253" w:line="276" w:lineRule="auto" w:before="0"/>
      <w:ind w:left="1080" w:firstLine="0"/>
      <w:contextualSpacing/>
    </w:pPr>
    <w:rPr>
      <w:rFonts w:ascii="Times New Roman" w:hAnsi="Times New Roman"/>
      <w:color w:val="000000"/>
      <w:sz w:val="22"/>
    </w:rPr>
  </w:style>
  <w:style w:type="paragraph" w:styleId="MacroText">
    <w:name w:val="macro"/>
    <w:link w:val="MacroTextChar"/>
    <w:uiPriority w:val="99"/>
    <w:unhideWhenUsed/>
    <w:rsid w:val="0029639D"/>
    <w:pPr>
      <w:widowControl/>
      <w:tabs>
        <w:tab w:val="left" w:pos="576"/>
        <w:tab w:val="left" w:pos="1152"/>
        <w:tab w:val="left" w:pos="1728"/>
        <w:tab w:val="left" w:pos="2304"/>
        <w:tab w:val="left" w:pos="2880"/>
        <w:tab w:val="left" w:pos="3456"/>
        <w:tab w:val="left" w:pos="4032"/>
      </w:tabs>
      <w:spacing w:line="276" w:lineRule="auto" w:before="0" w:after="253"/>
      <w:ind w:firstLine="0"/>
    </w:pPr>
    <w:rPr>
      <w:rFonts w:ascii="Times New Roman" w:hAnsi="Times New Roman"/>
      <w:color w:val="000000"/>
      <w:sz w:val="22"/>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widowControl/>
      <w:spacing w:line="276" w:lineRule="auto" w:before="0" w:after="253"/>
      <w:ind w:firstLine="0"/>
    </w:pPr>
    <w:rPr>
      <w:rFonts w:ascii="Times New Roman" w:hAnsi="Times New Roman"/>
      <w:i/>
      <w:iCs/>
      <w:color w:val="000000"/>
      <w:sz w:val="22"/>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widowControl/>
      <w:spacing w:line="276" w:lineRule="auto" w:before="0" w:after="253"/>
      <w:ind w:firstLine="0"/>
    </w:pPr>
    <w:rPr>
      <w:rFonts w:ascii="Times New Roman" w:hAnsi="Times New Roman"/>
      <w:b/>
      <w:bCs/>
      <w:color w:val="000000"/>
      <w:sz w:val="22"/>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widowControl/>
      <w:spacing w:before="0" w:after="253" w:line="276" w:lineRule="auto"/>
      <w:ind w:left="936" w:right="936" w:firstLine="0"/>
    </w:pPr>
    <w:rPr>
      <w:rFonts w:ascii="Times New Roman" w:hAnsi="Times New Roman"/>
      <w:b/>
      <w:bCs/>
      <w:i/>
      <w:iCs/>
      <w:color w:val="000000"/>
      <w:sz w:val="22"/>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widowControl/>
      <w:spacing w:line="276" w:lineRule="auto" w:before="0" w:after="253"/>
      <w:ind w:firstLine="0"/>
      <w:outlineLvl w:val="9"/>
    </w:pPr>
    <w:rPr>
      <w:rFonts w:ascii="Times New Roman" w:hAnsi="Times New Roman"/>
      <w:color w:val="000000"/>
      <w:sz w:val="22"/>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Office</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Defense Technology Supplier</dc:title>
  <dc:subject>Defense Technology Supplier</dc:subject>
  <dc:creator>Eshan Mukherjee</dc:creator>
  <cp:keywords/>
  <dc:description/>
  <cp:lastModifiedBy>Eshan Mukherjee</cp:lastModifiedBy>
  <cp:revision>1</cp:revision>
  <dcterms:created xsi:type="dcterms:W3CDTF">2013-12-23T23:15:00Z</dcterms:created>
  <dcterms:modified xsi:type="dcterms:W3CDTF">2013-12-23T23:15:00Z</dcterms:modified>
  <cp:category/>
</cp:coreProperties>
</file>