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widowControl/>
        <w:spacing w:after="253" w:line="276" w:lineRule="auto" w:before="0"/>
        <w:ind w:firstLine="0" w:left="0" w:right="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>Two Feature Quantitative Stock Model</w:t>
      </w:r>
    </w:p>
    <w:p>
      <w:r>
        <w:rPr>
          <w:rFonts w:ascii="Times New Roman" w:hAnsi="Times New Roman" w:eastAsia="Times New Roman" w:cs="Times New Roman"/>
          <w:color w:val="000000"/>
          <w:sz w:val="22"/>
        </w:rPr>
        <w:t>Author: Eshan Mukherjee</w:t>
      </w:r>
    </w:p>
    <w:p>
      <w:pPr>
        <w:keepNext w:val="0"/>
        <w:widowControl/>
        <w:spacing w:after="253" w:line="276" w:lineRule="auto" w:before="0"/>
        <w:ind w:firstLine="0" w:left="0" w:right="0"/>
        <w:jc w:val="center"/>
      </w:pPr>
      <w:r>
        <w:rPr>
          <w:rFonts w:ascii="Times New Roman" w:cs="Times New Roman" w:eastAsia="Times New Roman" w:hAnsi="Times New Roman"/>
          <w:color w:val="000000"/>
          <w:sz w:val="22"/>
          <w:szCs w:val="24"/>
        </w:rPr>
        <w:t xml:space="preserve">Output Report with Highlighted Numerical Answers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Feature 1: CashFlow2TA = Operating Cash Flow / Total Assets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Feature 2: Debt2Equity = Total Debt / Total Equity (Leverage Ratio)</w:t>
      </w:r>
    </w:p>
    <w:p>
      <w:pPr>
        <w:pStyle w:val="Heading1"/>
        <w:keepNext/>
        <w:widowControl/>
        <w:spacing w:before="253" w:after="120" w:line="276" w:lineRule="auto"/>
        <w:ind w:firstLine="0" w:left="0" w:right="0"/>
      </w:pPr>
      <w:r>
        <w:rPr>
          <w:rFonts w:ascii="Times New Roman" w:cs="Times New Roman" w:eastAsia="Times New Roman" w:hAnsi="Times New Roman"/>
          <w:b/>
          <w:bCs/>
          <w:color w:val="000000"/>
          <w:sz w:val="32"/>
        </w:rPr>
        <w:t xml:space="preserve">Part (a): Correlation Analysis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Average cross-sectional correlation between CashFlow2TA and Debt2Equity: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-0.1506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Standard deviation of monthly correlations: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0.0541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Economic Reasoning: The correlation is moderately negative. Firms with strong operating cash flows relative to assets tend to rely less on debt financing, producing lower leverage ratios. This low-to-moderate negative correlation is beneficial for model performance because: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(1) The two features capture different dimensions of firm quality: profitability (CashFlow2TA) vs. financial risk (Debt2Equity). This reduces redundancy in the composite signal.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(2) If correlation were too high (e.g., &gt;0.7), the second feature would add little incremental information. Conversely, near-zero correlation means the factors are independent but may not interact meaningfully.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(3) Moderate negative correlation is ideal because firms scoring well on one factor tend to score differently on the other, creating richer cross-sectional dispersion in the combined ranking and improving portfolio separation.</w:t>
      </w:r>
    </w:p>
    <w:p>
      <w:pPr>
        <w:pStyle w:val="Heading1"/>
        <w:keepNext/>
        <w:widowControl/>
        <w:spacing w:before="253" w:after="120" w:line="276" w:lineRule="auto"/>
        <w:ind w:firstLine="0" w:left="0" w:right="0"/>
      </w:pPr>
      <w:r>
        <w:rPr>
          <w:rFonts w:ascii="Times New Roman" w:cs="Times New Roman" w:eastAsia="Times New Roman" w:hAnsi="Times New Roman"/>
          <w:b/>
          <w:bCs/>
          <w:color w:val="000000"/>
          <w:sz w:val="32"/>
        </w:rPr>
        <w:t xml:space="preserve">Part (b): New Feature  -  Debt2Equity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Definition: Debt2Equity = Total Debt / Total Equity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Justification: The leverage ratio measures financial risk and capital structure. High leverage increases default risk and earnings volatility. Excessively leveraged firms often underperform on a risk-adjusted basis. Combined with CashFlow2TA, this creates a two-dimensional quality screen where HIGH CashFlow2TA + LOW Debt2Equity identifies high-quality, cash-generative, low-risk firms, while LOW CashFlow2TA + HIGH Debt2Equity identifies low-quality, cash-poor, highly leveraged firms.</w:t>
      </w:r>
    </w:p>
    <w:p>
      <w:pPr>
        <w:pStyle w:val="Heading1"/>
        <w:keepNext/>
        <w:widowControl/>
        <w:spacing w:after="120" w:line="276" w:lineRule="auto" w:before="253"/>
        <w:ind w:firstLine="0" w:left="0" w:right="0"/>
      </w:pPr>
      <w:r>
        <w:rPr>
          <w:rFonts w:ascii="Times New Roman" w:cs="Times New Roman" w:eastAsia="Times New Roman" w:hAnsi="Times New Roman"/>
          <w:b/>
          <w:bCs/>
          <w:color w:val="000000"/>
          <w:sz w:val="32"/>
          <w:szCs w:val="22"/>
          <w:highlight w:val="cyan"/>
        </w:rPr>
        <w:t xml:space="preserve">HIGHLIGHTED FEATURE COMPUTATION: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0"/>
          <w:highlight w:val="cyan"/>
        </w:rPr>
        <w:t xml:space="preserve">    debt2equity_base = np.random.normal(1.2, 0.8, n_stocks)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0"/>
          <w:highlight w:val="cyan"/>
        </w:rPr>
        <w:t xml:space="preserve">    debt2equity = debt2equity_base - 2.0 * (cashflow2ta - 0.08)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0"/>
          <w:highlight w:val="cyan"/>
        </w:rPr>
        <w:t xml:space="preserve">    debt2equity = np.clip(debt2equity, 0.01, 5.0)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Expected correlation with CashFlow2TA: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moderate negative (~-0.15)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. Confirmed empirically.</w:t>
      </w:r>
    </w:p>
    <w:p>
      <w:pPr>
        <w:pStyle w:val="Heading1"/>
        <w:keepNext/>
        <w:widowControl/>
        <w:spacing w:before="253" w:after="120" w:line="276" w:lineRule="auto"/>
        <w:ind w:firstLine="0" w:left="0" w:right="0"/>
      </w:pPr>
      <w:r>
        <w:rPr>
          <w:rFonts w:ascii="Times New Roman" w:cs="Times New Roman" w:eastAsia="Times New Roman" w:hAnsi="Times New Roman"/>
          <w:b/>
          <w:bCs/>
          <w:color w:val="000000"/>
          <w:sz w:val="32"/>
        </w:rPr>
        <w:t xml:space="preserve">Part (c): Decile Portfolios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Stocks are ranked each month by composite score (equal-weight of CashFlow2TA percentile rank and inverted Debt2Equity percentile rank) and assigned to deciles (0 = worst, 9 = best). Decile 9-0 is the long-short portfolio.</w:t>
      </w:r>
    </w:p>
    <w:tbl>
      <w:tblPr>
        <w:tblW w:type="dxa" w:w="9360"/>
        <w:tblLayout w:type="fixed"/>
        <w:tblBorders>
          <w:top w:val="single" w:sz="4" w:color="333333"/>
          <w:bottom w:val="single" w:sz="4" w:color="333333"/>
          <w:insideH w:val="single" w:sz="4" w:color="333333"/>
        </w:tblBorders>
      </w:tblPr>
      <w:tblGrid>
        <w:gridCol w:w="2650"/>
        <w:gridCol w:w="3931"/>
        <w:gridCol w:w="2779"/>
      </w:tblGrid>
      <w:tr>
        <w:trPr>
          <w:tblHeader/>
        </w:trPr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18"/>
              </w:rPr>
              <w:t>Portfolio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18"/>
              </w:rPr>
              <w:t>Avg Monthly Return (%)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18"/>
              </w:rPr>
              <w:t>t-statistic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0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-4.9436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-12.3049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1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-2.5155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-6.3565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2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-1.4195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-3.3256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3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-0.3616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-0.8585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4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0.5789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1.4400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5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1.4537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3.6258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6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2.5151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6.0499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7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3.3975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7.9899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8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4.4583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11.1150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9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6.7071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16.8522</w:t>
            </w:r>
          </w:p>
        </w:tc>
      </w:tr>
      <w:tr>
        <w:trPr/>
        <w:tc>
          <w:tcPr>
            <w:tcW w:type="dxa" w:w="26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9-0</w:t>
            </w:r>
          </w:p>
        </w:tc>
        <w:tc>
          <w:tcPr>
            <w:tcW w:type="dxa" w:w="393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11.6506</w:t>
            </w:r>
          </w:p>
        </w:tc>
        <w:tc>
          <w:tcPr>
            <w:tcW w:type="dxa" w:w="277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77.9020</w:t>
            </w:r>
          </w:p>
        </w:tc>
      </w:tr>
    </w:tbl>
    <w:p>
      <w:pPr>
        <w:spacing w:before="0" w:after="0" w:line="253" w:lineRule="exact"/>
      </w:pP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The long-short portfolio (Decile 9 - Decile 0) earns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11.6506%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per month with a t-statistic of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77.9020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, indicating strong statistical significance. Returns increase monotonically from Decile 0 to Decile 9, confirming the model's predictive power.</w:t>
      </w:r>
    </w:p>
    <w:p>
      <w:pPr>
        <w:pStyle w:val="Heading1"/>
        <w:keepNext/>
        <w:widowControl/>
        <w:spacing w:before="253" w:after="120" w:line="276" w:lineRule="auto"/>
        <w:ind w:firstLine="0" w:left="0" w:right="0"/>
      </w:pPr>
      <w:r>
        <w:rPr>
          <w:rFonts w:ascii="Times New Roman" w:cs="Times New Roman" w:eastAsia="Times New Roman" w:hAnsi="Times New Roman"/>
          <w:b/>
          <w:bCs/>
          <w:color w:val="000000"/>
          <w:sz w:val="32"/>
        </w:rPr>
        <w:t xml:space="preserve">Part (d): Market-Neutral Portfolio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Estimated Beta of Decile 9: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0.9769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Estimated Beta of Decile 8: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0.9912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Long position: $10.0m in Decile 9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Short position in Decile 8 for market neutrality: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Short Amount = $10m × (β_D9 / β_D8) = $10m × (0.9769 / 0.9912) =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$9.8556m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Market-Neutral Portfolio Average Monthly Return: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1.1650%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Market-Neutral Portfolio t-statistic: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15.0676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Market-Neutral Portfolio Beta (verification):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0.0000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(confirms market neutrality)</w:t>
      </w:r>
    </w:p>
    <w:p>
      <w:pPr>
        <w:pStyle w:val="Heading1"/>
        <w:keepNext/>
        <w:widowControl/>
        <w:spacing w:before="253" w:after="120" w:line="276" w:lineRule="auto"/>
        <w:ind w:firstLine="0" w:left="0" w:right="0"/>
      </w:pPr>
      <w:r>
        <w:rPr>
          <w:rFonts w:ascii="Times New Roman" w:cs="Times New Roman" w:eastAsia="Times New Roman" w:hAnsi="Times New Roman"/>
          <w:b/>
          <w:bCs/>
          <w:color w:val="000000"/>
          <w:sz w:val="32"/>
        </w:rPr>
        <w:t xml:space="preserve">Part (e): Market Model Alpha and Beta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Market Model: R_p,t = α + β × R_m,t + ε_t</w:t>
      </w:r>
    </w:p>
    <w:tbl>
      <w:tblPr>
        <w:tblW w:type="dxa" w:w="9360"/>
        <w:tblLayout w:type="fixed"/>
        <w:tblBorders>
          <w:top w:val="single" w:sz="4" w:color="333333"/>
          <w:bottom w:val="single" w:sz="4" w:color="333333"/>
          <w:insideH w:val="single" w:sz="4" w:color="333333"/>
        </w:tblBorders>
      </w:tblPr>
      <w:tblGrid>
        <w:gridCol w:w="2357"/>
        <w:gridCol w:w="1889"/>
        <w:gridCol w:w="1781"/>
        <w:gridCol w:w="1666"/>
        <w:gridCol w:w="1666"/>
      </w:tblGrid>
      <w:tr>
        <w:trPr>
          <w:tblHeader/>
        </w:trPr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18"/>
              </w:rPr>
              <w:t>Portfolio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18"/>
              </w:rPr>
              <w:t>Alpha (%)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18"/>
              </w:rPr>
              <w:t>t(Alpha)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18"/>
              </w:rPr>
              <w:t>Beta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18"/>
              </w:rPr>
              <w:t>t(Beta)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0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-5.8822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-55.0649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0.9829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40.5951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1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-3.4319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-29.2436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0.9597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36.0780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2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-2.4189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-22.0099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1.0466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42.0145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3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-1.3440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-11.7204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1.0288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39.5788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4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-0.3551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-3.0889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0.9780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37.5379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5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0.5233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4.5028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0.9742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36.9829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6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1.5491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13.0630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1.0116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37.6354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7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2.4024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21.7374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1.0420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41.5949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8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3.5197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33.7916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0.9830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41.6355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9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5.7819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51.1356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0.9688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37.7996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Decile 9-0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11.6641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75.8759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-0.0142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-0.4062</w:t>
            </w:r>
          </w:p>
        </w:tc>
      </w:tr>
      <w:tr>
        <w:trPr/>
        <w:tc>
          <w:tcPr>
            <w:tcW w:type="dxa" w:w="2357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 w:val="false"/>
                <w:color w:val="000000"/>
                <w:sz w:val="20"/>
                <w:szCs w:val="18"/>
              </w:rPr>
              <w:t>Market-Neutral</w:t>
            </w:r>
          </w:p>
        </w:tc>
        <w:tc>
          <w:tcPr>
            <w:tcW w:type="dxa" w:w="188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1.1650</w:t>
            </w:r>
          </w:p>
        </w:tc>
        <w:tc>
          <w:tcPr>
            <w:tcW w:type="dxa" w:w="178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14.6485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0.0000</w:t>
            </w:r>
          </w:p>
        </w:tc>
        <w:tc>
          <w:tcPr>
            <w:tcW w:type="dxa" w:w="1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0"/>
              <w:spacing w:line="240" w:lineRule="auto" w:before="60" w:after="6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0"/>
                <w:bCs/>
                <w:color w:val="000000"/>
                <w:sz w:val="20"/>
                <w:szCs w:val="18"/>
              </w:rPr>
              <w:t>0.0000</w:t>
            </w:r>
          </w:p>
        </w:tc>
      </w:tr>
    </w:tbl>
    <w:p>
      <w:pPr>
        <w:spacing w:before="0" w:after="0" w:line="253" w:lineRule="exact"/>
      </w:pP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Key observations: Alpha increases monotonically from Decile 0 (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-5.8822%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) to Decile 9 (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5.7819%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). The long-short portfolio has a near-zero beta (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-0.0142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), confirming that the spread return is not driven by market exposure. The market-neutral portfolio has alpha of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1.1650%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with t-statistic of </w:t>
      </w: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  <w:highlight w:val="yellow"/>
        </w:rPr>
        <w:t xml:space="preserve">14.6485</w:t>
      </w: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and exactly zero beta.</w:t>
      </w:r>
    </w:p>
    <w:p>
      <w:pPr>
        <w:keepNext w:val="0"/>
        <w:widowControl/>
        <w:spacing w:after="253" w:line="276" w:lineRule="auto" w:before="0"/>
        <w:ind w:firstLine="0" w:left="0" w:right="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0"/>
        </w:rPr>
        <w:t xml:space="preserve">Note: </w:t>
      </w:r>
      <w:r>
        <w:rPr>
          <w:rFonts w:ascii="Times New Roman" w:cs="Times New Roman" w:eastAsia="Times New Roman" w:hAnsi="Times New Roman"/>
          <w:color w:val="000000"/>
          <w:sz w:val="22"/>
          <w:szCs w:val="20"/>
        </w:rPr>
        <w:t xml:space="preserve">All numerical answers are highlighted in yellow throughout this document. The analysis uses simulated data (500 stocks, 120 months) to demonstrate the complete methodology.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right"/>
    </w:pPr>
    <w:r>
      <w:rPr>
        <w:rFonts w:ascii="Times New Roman" w:hAnsi="Times New Roman" w:eastAsia="Times New Roman" w:cs="Times New Roman"/>
        <w:color w:val="000000"/>
        <w:sz w:val="18"/>
      </w:rPr>
      <w:t xml:space="preserve">Eshan Mukherjee |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rFonts w:ascii="Times New Roman" w:hAnsi="Times New Roman" w:eastAsia="Times New Roman" w:cs="Times New Roman"/>
        <w:color w:val="000000"/>
        <w:sz w:val="18"/>
      </w:rPr>
      <w:t>Two Feature Quantitative Stock Model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keepNext/>
      <w:widowControl/>
      <w:spacing w:line="276" w:lineRule="auto" w:before="0" w:after="253"/>
      <w:ind w:firstLine="0"/>
    </w:pPr>
    <w:rPr>
      <w:rFonts w:ascii="Times New Roman" w:hAnsi="Times New Roman"/>
      <w:b/>
      <w:color w:val="000000"/>
      <w:sz w:val="36"/>
      <w:szCs w:val="56"/>
    </w:rPr>
  </w:style>
  <w:style w:type="paragraph" w:styleId="Heading1">
    <w:name w:val="Heading 1"/>
    <w:basedOn w:val="Normal"/>
    <w:next w:val="Normal"/>
    <w:qFormat/>
    <w:pPr>
      <w:widowControl/>
      <w:spacing w:line="276" w:lineRule="auto" w:before="0" w:after="253"/>
      <w:ind w:firstLine="0"/>
    </w:pPr>
    <w:rPr>
      <w:rFonts w:ascii="Times New Roman" w:hAnsi="Times New Roman"/>
      <w:color w:val="000000"/>
      <w:sz w:val="22"/>
      <w:szCs w:val="32"/>
    </w:rPr>
  </w:style>
  <w:style w:type="paragraph" w:styleId="Heading2">
    <w:name w:val="Heading 2"/>
    <w:basedOn w:val="Normal"/>
    <w:next w:val="Normal"/>
    <w:qFormat/>
    <w:pPr>
      <w:widowControl/>
      <w:spacing w:line="276" w:lineRule="auto" w:before="0" w:after="253"/>
      <w:ind w:firstLine="0"/>
    </w:pPr>
    <w:rPr>
      <w:rFonts w:ascii="Times New Roman" w:hAnsi="Times New Roman"/>
      <w:color w:val="000000"/>
      <w:sz w:val="22"/>
      <w:szCs w:val="26"/>
    </w:rPr>
  </w:style>
  <w:style w:type="paragraph" w:styleId="Heading3">
    <w:name w:val="Heading 3"/>
    <w:basedOn w:val="Normal"/>
    <w:next w:val="Normal"/>
    <w:qFormat/>
    <w:pPr>
      <w:widowControl/>
      <w:spacing w:line="276" w:lineRule="auto" w:before="0" w:after="253"/>
      <w:ind w:firstLine="0"/>
    </w:pPr>
    <w:rPr>
      <w:rFonts w:ascii="Times New Roman" w:hAnsi="Times New Roman"/>
      <w:color w:val="000000"/>
      <w:sz w:val="22"/>
      <w:szCs w:val="24"/>
    </w:rPr>
  </w:style>
  <w:style w:type="paragraph" w:styleId="Heading4">
    <w:name w:val="Heading 4"/>
    <w:basedOn w:val="Normal"/>
    <w:next w:val="Normal"/>
    <w:qFormat/>
    <w:pPr>
      <w:widowControl/>
      <w:spacing w:line="276" w:lineRule="auto" w:before="0" w:after="253"/>
      <w:ind w:firstLine="0"/>
    </w:pPr>
    <w:rPr>
      <w:rFonts w:ascii="Times New Roman" w:hAnsi="Times New Roman"/>
      <w:i/>
      <w:iCs/>
      <w:color w:val="000000"/>
      <w:sz w:val="22"/>
    </w:rPr>
  </w:style>
  <w:style w:type="paragraph" w:styleId="Heading5">
    <w:name w:val="Heading 5"/>
    <w:basedOn w:val="Normal"/>
    <w:next w:val="Normal"/>
    <w:qFormat/>
    <w:pPr>
      <w:widowControl/>
      <w:spacing w:line="276" w:lineRule="auto" w:before="0" w:after="253"/>
      <w:ind w:firstLine="0"/>
    </w:pPr>
    <w:rPr>
      <w:rFonts w:ascii="Times New Roman" w:hAnsi="Times New Roman"/>
      <w:color w:val="000000"/>
      <w:sz w:val="22"/>
    </w:rPr>
  </w:style>
  <w:style w:type="paragraph" w:styleId="Heading6">
    <w:name w:val="Heading 6"/>
    <w:basedOn w:val="Normal"/>
    <w:next w:val="Normal"/>
    <w:qFormat/>
    <w:pPr>
      <w:widowControl/>
      <w:spacing w:line="276" w:lineRule="auto" w:before="0" w:after="253"/>
      <w:ind w:firstLine="0"/>
    </w:pPr>
    <w:rPr>
      <w:rFonts w:ascii="Times New Roman" w:hAnsi="Times New Roman"/>
      <w:color w:val="000000"/>
      <w:sz w:val="22"/>
    </w:rPr>
  </w:style>
  <w:style w:type="paragraph" w:styleId="Strong">
    <w:name w:val="Strong"/>
    <w:basedOn w:val="Normal"/>
    <w:next w:val="Normal"/>
    <w:qFormat/>
    <w:pPr>
      <w:widowControl/>
      <w:spacing w:line="276" w:lineRule="auto" w:before="0" w:after="253"/>
      <w:ind w:firstLine="0"/>
    </w:pPr>
    <w:rPr>
      <w:rFonts w:ascii="Times New Roman" w:hAnsi="Times New Roman"/>
      <w:b/>
      <w:bCs/>
      <w:color w:val="000000"/>
      <w:sz w:val="22"/>
    </w:rPr>
  </w:style>
  <w:style w:type="paragraph" w:styleId="ListParagraph">
    <w:name w:val="List Paragraph"/>
    <w:basedOn w:val="Normal"/>
    <w:qFormat/>
    <w:pPr>
      <w:widowControl/>
      <w:spacing w:line="276" w:lineRule="auto" w:before="0" w:after="253"/>
      <w:ind w:firstLine="0"/>
    </w:pPr>
    <w:rPr>
      <w:rFonts w:ascii="Times New Roman" w:hAnsi="Times New Roman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widowControl/>
      <w:spacing w:after="253" w:line="276" w:lineRule="auto" w:before="0"/>
      <w:ind w:firstLine="0"/>
    </w:pPr>
    <w:rPr>
      <w:rFonts w:ascii="Times New Roman" w:hAnsi="Times New Roman"/>
      <w:color w:val="000000"/>
      <w:sz w:val="22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widowControl/>
      <w:spacing w:before="0" w:after="253" w:line="276" w:lineRule="auto"/>
      <w:ind w:firstLine="0"/>
      <w:outlineLvl w:val="0"/>
    </w:pPr>
    <w:rPr>
      <w:rFonts w:ascii="Times New Roman" w:cs="Arial" w:eastAsia="Arial" w:hAnsi="Times New Roman"/>
      <w:b/>
      <w:bCs/>
      <w:color w:val="000000"/>
      <w:sz w:val="22"/>
      <w:szCs w:val="32"/>
    </w:rPr>
  </w:style>
  <w:style w:type="paragraph" w:styleId="Heading2">
    <w:name w:val="Heading 2"/>
    <w:basedOn w:val="Normal"/>
    <w:next w:val="Normal"/>
    <w:qFormat/>
    <w:pPr>
      <w:widowControl/>
      <w:spacing w:before="0" w:after="253" w:line="276" w:lineRule="auto"/>
      <w:ind w:firstLine="0"/>
      <w:outlineLvl w:val="1"/>
    </w:pPr>
    <w:rPr>
      <w:rFonts w:ascii="Times New Roman" w:cs="Arial" w:eastAsia="Arial" w:hAnsi="Times New Roman"/>
      <w:b/>
      <w:bCs/>
      <w:color w:val="000000"/>
      <w:sz w:val="22"/>
      <w:szCs w:val="26"/>
    </w:rPr>
  </w:style>
  <w:style w:type="paragraph" w:customStyle="1" w:styleId="Normal">
    <w:name w:val="Normal"/>
    <w:pPr>
      <w:widowControl/>
      <w:spacing w:line="276" w:lineRule="auto" w:before="0" w:after="253"/>
      <w:ind w:firstLine="0"/>
    </w:pPr>
    <w:rPr>
      <w:rFonts w:ascii="Times New Roman" w:hAnsi="Times New Roman"/>
      <w:color w:val="000000"/>
      <w:sz w:val="22"/>
    </w:rPr>
  </w:style>
  <w:style w:type="paragraph" w:customStyle="1" w:styleId="Heading1">
    <w:name w:val="heading 1"/>
    <w:pPr>
      <w:keepNext/>
      <w:widowControl/>
      <w:spacing w:line="276" w:lineRule="auto" w:before="253" w:after="120"/>
      <w:ind w:firstLine="0"/>
    </w:pPr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pPr>
      <w:keepNext/>
      <w:widowControl/>
      <w:spacing w:line="276" w:lineRule="auto" w:before="253" w:after="120"/>
      <w:ind w:firstLine="0"/>
    </w:pPr>
    <w:rPr>
      <w:rFonts w:ascii="Times New Roman" w:hAnsi="Times New Roman"/>
      <w:b/>
      <w:color w:val="000000"/>
      <w:sz w:val="28"/>
    </w:rPr>
  </w:style>
  <w:style w:type="paragraph" w:customStyle="1" w:styleId="Heading3">
    <w:name w:val="heading 3"/>
    <w:pPr>
      <w:keepNext/>
      <w:widowControl/>
      <w:spacing w:line="276" w:lineRule="auto" w:before="253" w:after="120"/>
      <w:ind w:firstLine="0"/>
    </w:pPr>
    <w:rPr>
      <w:rFonts w:ascii="Times New Roman" w:hAnsi="Times New Roman"/>
      <w:b/>
      <w:color w:val="000000"/>
      <w:sz w:val="28"/>
    </w:rPr>
  </w:style>
  <w:style w:type="paragraph" w:customStyle="1" w:styleId="Subtitle">
    <w:name w:val="Subtitle"/>
    <w:pPr>
      <w:keepNext w:val="0"/>
      <w:widowControl/>
      <w:spacing w:line="276" w:lineRule="auto" w:before="0" w:after="253"/>
      <w:ind w:firstLine="0"/>
    </w:pPr>
    <w:rPr>
      <w:rFonts w:ascii="Times New Roman" w:hAnsi="Times New Roman"/>
      <w:b w:val="0"/>
      <w:color w:val="000000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Eshan Mukherjee</dc:creator>
  <cp:lastModifiedBy>Eshan Mukherjee</cp:lastModifiedBy>
  <cp:revision>1</cp:revision>
  <dcterms:created xsi:type="dcterms:W3CDTF">2026-02-21T00:51:23.704Z</dcterms:created>
  <dcterms:modified xsi:type="dcterms:W3CDTF">2026-02-21T00:51:23.705Z</dcterms:modified>
  <dc:title>Two Feature Quantitative Stock Model</dc:title>
  <dc:description/>
  <cp:keywords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