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val="0"/>
        <w:widowControl/>
        <w:spacing w:line="276" w:lineRule="auto" w:before="0" w:after="253"/>
        <w:ind w:firstLine="0" w:left="0" w:right="0"/>
      </w:pPr>
      <w:r>
        <w:rPr>
          <w:rFonts w:ascii="Times New Roman" w:hAnsi="Times New Roman" w:eastAsia="Times New Roman" w:cs="Times New Roman"/>
          <w:b/>
          <w:color w:val="000000"/>
          <w:sz w:val="36"/>
        </w:rPr>
        <w:t>Swiss Real Estate Decision Software Startup</w:t>
      </w:r>
    </w:p>
    <w:p>
      <w:pPr>
        <w:keepNext w:val="0"/>
        <w:widowControl/>
        <w:spacing w:line="276" w:lineRule="auto" w:before="0" w:after="253"/>
        <w:ind w:firstLine="0" w:left="0" w:right="0"/>
      </w:pPr>
      <w:r>
        <w:rPr>
          <w:rFonts w:ascii="Times New Roman" w:hAnsi="Times New Roman" w:eastAsia="Times New Roman" w:cs="Times New Roman"/>
          <w:color w:val="000000"/>
          <w:sz w:val="22"/>
        </w:rPr>
        <w:t>Eshan Mukherjee | 6 October 2026 | Independent portfolio sample</w:t>
      </w:r>
    </w:p>
    <w:p>
      <w:pPr>
        <w:pStyle w:val="Heading1"/>
        <w:keepNext/>
        <w:widowControl/>
        <w:spacing w:line="276" w:lineRule="auto" w:before="253" w:after="120"/>
        <w:ind w:firstLine="0" w:left="0" w:right="0"/>
      </w:pPr>
      <w:r>
        <w:rPr>
          <w:rFonts w:ascii="Times New Roman" w:hAnsi="Times New Roman" w:eastAsia="Times New Roman" w:cs="Times New Roman"/>
          <w:b/>
          <w:color w:val="000000"/>
          <w:sz w:val="32"/>
        </w:rPr>
        <w:t>Executive summary</w:t>
      </w:r>
    </w:p>
    <w:p>
      <w:pPr>
        <w:keepNext w:val="0"/>
        <w:widowControl/>
        <w:spacing w:line="276" w:lineRule="auto" w:before="0" w:after="253"/>
        <w:ind w:firstLine="0" w:left="0" w:right="0"/>
      </w:pPr>
      <w:r>
        <w:rPr>
          <w:rFonts w:ascii="Times New Roman" w:hAnsi="Times New Roman" w:eastAsia="Times New Roman" w:cs="Times New Roman"/>
          <w:color w:val="000000"/>
          <w:sz w:val="22"/>
        </w:rPr>
        <w:t>Prioritize revenue cut-off, customer concentration and cash conversion. Treat recurring product costs as operating expenses. Accept proposed EBITDA adjustments only after testing their recurrence and cash effect. Findings describe a synthetic diligence exercise.</w:t>
      </w:r>
    </w:p>
    <w:p>
      <w:pPr>
        <w:keepNext w:val="0"/>
        <w:widowControl/>
        <w:spacing w:line="276" w:lineRule="auto" w:before="0" w:after="253"/>
        <w:ind w:firstLine="0" w:left="0" w:right="0"/>
      </w:pPr>
      <w:r>
        <w:rPr>
          <w:rFonts w:ascii="Times New Roman" w:hAnsi="Times New Roman" w:eastAsia="Times New Roman" w:cs="Times New Roman"/>
          <w:color w:val="000000"/>
          <w:sz w:val="22"/>
        </w:rPr>
        <w:t>All startup accounting and operating figures are synthetic. The business description identifies a real prospect.</w:t>
      </w:r>
    </w:p>
    <w:p>
      <w:pPr>
        <w:pStyle w:val="Heading1"/>
        <w:keepNext/>
        <w:widowControl/>
        <w:spacing w:line="276" w:lineRule="auto" w:before="253" w:after="0"/>
        <w:ind w:firstLine="0" w:left="0" w:right="0"/>
      </w:pPr>
      <w:r>
        <w:rPr>
          <w:rFonts w:ascii="Times New Roman" w:hAnsi="Times New Roman" w:eastAsia="Times New Roman" w:cs="Times New Roman"/>
          <w:b/>
          <w:color w:val="000000"/>
          <w:sz w:val="32"/>
        </w:rPr>
        <w:t>Financial review</w:t>
      </w:r>
    </w:p>
    <w:tbl>
      <w:tblPr>
        <w:tblW w:type="dxa" w:w="9360"/>
        <w:jc w:val="center"/>
        <w:tblLayout w:type="fixed"/>
        <w:tblLook w:firstColumn="1" w:firstRow="1" w:lastColumn="0" w:lastRow="0" w:noHBand="0" w:noVBand="1" w:val="04A0"/>
        <w:tblBorders>
          <w:top w:val="single" w:sz="4" w:color="333333"/>
          <w:bottom w:val="single" w:sz="4" w:color="333333"/>
          <w:insideH w:val="single" w:sz="4" w:color="333333"/>
        </w:tblBorders>
      </w:tblPr>
      <w:tblGrid>
        <w:gridCol w:w="3382"/>
        <w:gridCol w:w="1908"/>
        <w:gridCol w:w="1908"/>
        <w:gridCol w:w="2163"/>
      </w:tblGrid>
      <w:tr>
        <w:trPr>
          <w:tblHeader/>
          <w:tblHeader/>
        </w:trPr>
        <w:tc>
          <w:tcPr>
            <w:tcW w:type="dxa" w:w="338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Metric (EUR thousands)</w:t>
            </w:r>
          </w:p>
        </w:tc>
        <w:tc>
          <w:tcPr>
            <w:tcW w:type="dxa" w:w="190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2024</w:t>
            </w:r>
          </w:p>
        </w:tc>
        <w:tc>
          <w:tcPr>
            <w:tcW w:type="dxa" w:w="190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2025</w:t>
            </w:r>
          </w:p>
        </w:tc>
        <w:tc>
          <w:tcPr>
            <w:tcW w:type="dxa" w:w="216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2031 base</w:t>
            </w:r>
          </w:p>
        </w:tc>
      </w:tr>
      <w:tr>
        <w:trPr/>
        <w:tc>
          <w:tcPr>
            <w:tcW w:type="dxa" w:w="338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Revenue</w:t>
            </w:r>
          </w:p>
        </w:tc>
        <w:tc>
          <w:tcPr>
            <w:tcW w:type="dxa" w:w="190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600.0</w:t>
            </w:r>
          </w:p>
        </w:tc>
        <w:tc>
          <w:tcPr>
            <w:tcW w:type="dxa" w:w="190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1,200.0</w:t>
            </w:r>
          </w:p>
        </w:tc>
        <w:tc>
          <w:tcPr>
            <w:tcW w:type="dxa" w:w="216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12,739.0</w:t>
            </w:r>
          </w:p>
        </w:tc>
      </w:tr>
      <w:tr>
        <w:trPr/>
        <w:tc>
          <w:tcPr>
            <w:tcW w:type="dxa" w:w="338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EBITDA proxy</w:t>
            </w:r>
          </w:p>
        </w:tc>
        <w:tc>
          <w:tcPr>
            <w:tcW w:type="dxa" w:w="190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-380.0</w:t>
            </w:r>
          </w:p>
        </w:tc>
        <w:tc>
          <w:tcPr>
            <w:tcW w:type="dxa" w:w="190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-563.2</w:t>
            </w:r>
          </w:p>
        </w:tc>
        <w:tc>
          <w:tcPr>
            <w:tcW w:type="dxa" w:w="216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1,720.5</w:t>
            </w:r>
          </w:p>
        </w:tc>
      </w:tr>
      <w:tr>
        <w:trPr/>
        <w:tc>
          <w:tcPr>
            <w:tcW w:type="dxa" w:w="3382"/>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Unrestricted cash</w:t>
            </w:r>
          </w:p>
        </w:tc>
        <w:tc>
          <w:tcPr>
            <w:tcW w:type="dxa" w:w="1908"/>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1,850.0</w:t>
            </w:r>
          </w:p>
        </w:tc>
        <w:tc>
          <w:tcPr>
            <w:tcW w:type="dxa" w:w="1908"/>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1,376.8</w:t>
            </w:r>
          </w:p>
        </w:tc>
        <w:tc>
          <w:tcPr>
            <w:tcW w:type="dxa" w:w="2163"/>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5,829.6</w:t>
            </w:r>
          </w:p>
        </w:tc>
      </w:tr>
    </w:tbl>
    <w:p>
      <w:pPr>
        <w:spacing w:before="0" w:after="0" w:line="253" w:lineRule="exact"/>
      </w:pPr>
    </w:p>
    <w:p>
      <w:pPr>
        <w:keepNext w:val="0"/>
        <w:widowControl/>
        <w:spacing w:line="276" w:lineRule="auto" w:before="0" w:after="253"/>
        <w:ind w:firstLine="0" w:left="0" w:right="0"/>
      </w:pPr>
      <w:r>
        <w:rPr>
          <w:rFonts w:ascii="Times New Roman" w:hAnsi="Times New Roman" w:eastAsia="Times New Roman" w:cs="Times New Roman"/>
          <w:color w:val="000000"/>
          <w:sz w:val="22"/>
        </w:rPr>
        <w:t>EBITDA proxy equals reported operating income plus the mapped depreciation and amortization line. It is not management-adjusted EBITDA.</w:t>
      </w:r>
    </w:p>
    <w:tbl>
      <w:tblPr>
        <w:tblW w:type="dxa" w:w="9360"/>
        <w:jc w:val="center"/>
        <w:tblLayout w:type="fixed"/>
        <w:tblLook w:firstColumn="1" w:firstRow="1" w:lastColumn="0" w:lastRow="0" w:noHBand="0" w:noVBand="1" w:val="04A0"/>
        <w:tblBorders>
          <w:top w:val="single" w:sz="4" w:color="333333"/>
          <w:bottom w:val="single" w:sz="4" w:color="333333"/>
          <w:insideH w:val="single" w:sz="4" w:color="333333"/>
        </w:tblBorders>
      </w:tblPr>
      <w:tblGrid>
        <w:gridCol w:w="1880"/>
        <w:gridCol w:w="2303"/>
        <w:gridCol w:w="2205"/>
        <w:gridCol w:w="2973"/>
      </w:tblGrid>
      <w:tr>
        <w:trPr>
          <w:tblHeader/>
          <w:tblHeader/>
        </w:trPr>
        <w:tc>
          <w:tcPr>
            <w:tcW w:type="dxa" w:w="1880"/>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Scenario</w:t>
            </w:r>
          </w:p>
        </w:tc>
        <w:tc>
          <w:tcPr>
            <w:tcW w:type="dxa" w:w="230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2031 revenue</w:t>
            </w:r>
          </w:p>
        </w:tc>
        <w:tc>
          <w:tcPr>
            <w:tcW w:type="dxa" w:w="2205"/>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2031 EBITDA</w:t>
            </w:r>
          </w:p>
        </w:tc>
        <w:tc>
          <w:tcPr>
            <w:tcW w:type="dxa" w:w="297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DCF enterprise value</w:t>
            </w:r>
          </w:p>
        </w:tc>
      </w:tr>
      <w:tr>
        <w:trPr/>
        <w:tc>
          <w:tcPr>
            <w:tcW w:type="dxa" w:w="1880"/>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Base</w:t>
            </w:r>
          </w:p>
        </w:tc>
        <w:tc>
          <w:tcPr>
            <w:tcW w:type="dxa" w:w="230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12,739.0</w:t>
            </w:r>
          </w:p>
        </w:tc>
        <w:tc>
          <w:tcPr>
            <w:tcW w:type="dxa" w:w="2205"/>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1,720.5</w:t>
            </w:r>
          </w:p>
        </w:tc>
        <w:tc>
          <w:tcPr>
            <w:tcW w:type="dxa" w:w="297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4,384.9</w:t>
            </w:r>
          </w:p>
        </w:tc>
      </w:tr>
      <w:tr>
        <w:trPr/>
        <w:tc>
          <w:tcPr>
            <w:tcW w:type="dxa" w:w="1880"/>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Upside</w:t>
            </w:r>
          </w:p>
        </w:tc>
        <w:tc>
          <w:tcPr>
            <w:tcW w:type="dxa" w:w="230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17,788.0</w:t>
            </w:r>
          </w:p>
        </w:tc>
        <w:tc>
          <w:tcPr>
            <w:tcW w:type="dxa" w:w="2205"/>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6,290.5</w:t>
            </w:r>
          </w:p>
        </w:tc>
        <w:tc>
          <w:tcPr>
            <w:tcW w:type="dxa" w:w="297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20,124.0</w:t>
            </w:r>
          </w:p>
        </w:tc>
      </w:tr>
      <w:tr>
        <w:trPr/>
        <w:tc>
          <w:tcPr>
            <w:tcW w:type="dxa" w:w="1880"/>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Downside</w:t>
            </w:r>
          </w:p>
        </w:tc>
        <w:tc>
          <w:tcPr>
            <w:tcW w:type="dxa" w:w="2303"/>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7,486.1</w:t>
            </w:r>
          </w:p>
        </w:tc>
        <w:tc>
          <w:tcPr>
            <w:tcW w:type="dxa" w:w="2205"/>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-3,260.3</w:t>
            </w:r>
          </w:p>
        </w:tc>
        <w:tc>
          <w:tcPr>
            <w:tcW w:type="dxa" w:w="2973"/>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-13,316.1</w:t>
            </w:r>
          </w:p>
        </w:tc>
      </w:tr>
    </w:tbl>
    <w:p>
      <w:pPr>
        <w:spacing w:before="0" w:after="0" w:line="253" w:lineRule="exact"/>
      </w:pPr>
    </w:p>
    <w:p>
      <w:pPr>
        <w:keepNext w:val="0"/>
        <w:widowControl/>
        <w:spacing w:line="276" w:lineRule="auto" w:before="0" w:after="253"/>
        <w:ind w:firstLine="0" w:left="0" w:right="0"/>
      </w:pPr>
      <w:r>
        <w:rPr>
          <w:rFonts w:ascii="Times New Roman" w:hAnsi="Times New Roman" w:eastAsia="Times New Roman" w:cs="Times New Roman"/>
          <w:color w:val="000000"/>
          <w:sz w:val="22"/>
        </w:rPr>
        <w:t>The scenario comparison is a dated snapshot. The workbook selector recalculates the live schedules. Negative continuation DCF values require a restructuring or financing response.</w:t>
      </w:r>
    </w:p>
    <w:p>
      <w:pPr>
        <w:pStyle w:val="Heading1"/>
        <w:keepNext/>
        <w:widowControl/>
        <w:spacing w:line="276" w:lineRule="auto" w:before="253" w:after="120"/>
        <w:ind w:firstLine="0" w:left="0" w:right="0"/>
      </w:pPr>
      <w:r>
        <w:rPr>
          <w:rFonts w:ascii="Times New Roman" w:hAnsi="Times New Roman" w:eastAsia="Times New Roman" w:cs="Times New Roman"/>
          <w:b/>
          <w:color w:val="000000"/>
          <w:sz w:val="32"/>
        </w:rPr>
        <w:t>Business and transaction structure</w:t>
      </w: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Revenue quality</w:t>
      </w:r>
    </w:p>
    <w:p>
      <w:pPr>
        <w:keepNext w:val="0"/>
        <w:widowControl/>
        <w:spacing w:line="276" w:lineRule="auto" w:before="0" w:after="253"/>
        <w:ind w:firstLine="0" w:left="0" w:right="0"/>
      </w:pPr>
      <w:r>
        <w:rPr>
          <w:rFonts w:ascii="Times New Roman" w:hAnsi="Times New Roman" w:eastAsia="Times New Roman" w:cs="Times New Roman"/>
          <w:color w:val="000000"/>
          <w:sz w:val="22"/>
        </w:rPr>
        <w:t>Thirty synthetic customer records reconcile to EUR 1,200 thousand revenue, EUR 180 thousand receivables and EUR 400 thousand deferred revenue for 2025. Subscription revenue is EUR 768 thousand and implementation revenue is EUR 432 thousand. The top-three customer concentration comes directly from the customer ledger.</w:t>
      </w: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Quality of earnings</w:t>
      </w:r>
    </w:p>
    <w:p>
      <w:pPr>
        <w:keepNext w:val="0"/>
        <w:widowControl/>
        <w:spacing w:line="276" w:lineRule="auto" w:before="0" w:after="253"/>
        <w:ind w:firstLine="0" w:left="0" w:right="0"/>
      </w:pPr>
      <w:r>
        <w:rPr>
          <w:rFonts w:ascii="Times New Roman" w:hAnsi="Times New Roman" w:eastAsia="Times New Roman" w:cs="Times New Roman"/>
          <w:color w:val="000000"/>
          <w:sz w:val="22"/>
        </w:rPr>
        <w:t>Reported synthetic EBITDA is EUR (563.2) thousand. The example adds back EUR 100 thousand of one-time legal cost, deducts EUR 20 thousand for compensation normalization and deducts EUR 35 thousand for revenue cut-off. Recurring AI development receives no add-back. Normalized EBITDA is EUR (518.2) thousand.</w:t>
      </w: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Price adjustments</w:t>
      </w:r>
    </w:p>
    <w:p>
      <w:pPr>
        <w:keepNext w:val="0"/>
        <w:widowControl/>
        <w:spacing w:line="276" w:lineRule="auto" w:before="0" w:after="253"/>
        <w:ind w:firstLine="0" w:left="0" w:right="0"/>
      </w:pPr>
      <w:r>
        <w:rPr>
          <w:rFonts w:ascii="Times New Roman" w:hAnsi="Times New Roman" w:eastAsia="Times New Roman" w:cs="Times New Roman"/>
          <w:color w:val="000000"/>
          <w:sz w:val="22"/>
        </w:rPr>
        <w:t>The working-capital illustration compares closing receivables, payables and deferred revenue with a normalized target. Assumed debt-like liabilities are EUR 45 thousand. The equity-price bridge subtracts net debt and applies the working-capital adjustment with explicit signs.</w:t>
      </w:r>
    </w:p>
    <w:p>
      <w:pPr>
        <w:pStyle w:val="Heading2"/>
        <w:keepNext/>
        <w:widowControl/>
        <w:spacing w:line="276" w:lineRule="auto" w:before="253" w:after="0"/>
        <w:ind w:firstLine="0" w:left="0" w:right="0"/>
      </w:pPr>
      <w:r>
        <w:rPr>
          <w:rFonts w:ascii="Times New Roman" w:hAnsi="Times New Roman" w:eastAsia="Times New Roman" w:cs="Times New Roman"/>
          <w:b/>
          <w:color w:val="000000"/>
          <w:sz w:val="28"/>
        </w:rPr>
        <w:t>Evidence classes</w:t>
      </w:r>
    </w:p>
    <w:tbl>
      <w:tblPr>
        <w:tblW w:type="dxa" w:w="9360"/>
        <w:jc w:val="center"/>
        <w:tblLayout w:type="fixed"/>
        <w:tblLook w:firstColumn="1" w:firstRow="1" w:lastColumn="0" w:lastRow="0" w:noHBand="0" w:noVBand="1" w:val="04A0"/>
        <w:tblBorders>
          <w:top w:val="single" w:sz="4" w:color="333333"/>
          <w:bottom w:val="single" w:sz="4" w:color="333333"/>
          <w:insideH w:val="single" w:sz="4" w:color="333333"/>
        </w:tblBorders>
      </w:tblPr>
      <w:tblGrid>
        <w:gridCol w:w="3067"/>
        <w:gridCol w:w="6293"/>
      </w:tblGrid>
      <w:tr>
        <w:trPr>
          <w:tblHeader/>
          <w:tblHeade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Class</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Treatment</w:t>
            </w:r>
          </w:p>
        </w:tc>
      </w:tr>
      <w:t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Reported fact</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Historical statement figures and dated public disclosures.</w:t>
            </w:r>
          </w:p>
        </w:tc>
      </w:tr>
      <w:t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Management guidance</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Qualitative outlook reviewed separately from analyst forecasts.</w:t>
            </w:r>
          </w:p>
        </w:tc>
      </w:tr>
      <w:t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Analyst assumption</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Growth, margins, capital intensity, discount rate and scenario drivers.</w:t>
            </w:r>
          </w:p>
        </w:tc>
      </w:tr>
      <w:t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Hypothetical terms</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Financing, sponsor ownership, fees, covenants and recovery assumptions.</w:t>
            </w:r>
          </w:p>
        </w:tc>
      </w:tr>
      <w:tr>
        <w:trPr/>
        <w:tc>
          <w:tcPr>
            <w:tcW w:type="dxa" w:w="3067"/>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Synthetic record</w:t>
            </w:r>
          </w:p>
        </w:tc>
        <w:tc>
          <w:tcPr>
            <w:tcW w:type="dxa" w:w="6293"/>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All private-startup financial history, customer accounts and staffing economics.</w:t>
            </w:r>
          </w:p>
        </w:tc>
      </w:tr>
    </w:tbl>
    <w:p>
      <w:pPr>
        <w:spacing w:before="0" w:after="0" w:line="253" w:lineRule="exact"/>
      </w:pPr>
    </w:p>
    <w:p>
      <w:pPr>
        <w:keepNext w:val="0"/>
        <w:widowControl/>
        <w:spacing w:line="276" w:lineRule="auto" w:before="0" w:after="253"/>
        <w:ind w:firstLine="0" w:left="0" w:right="0"/>
      </w:pPr>
      <w:r>
        <w:rPr>
          <w:rFonts w:ascii="Times New Roman" w:hAnsi="Times New Roman" w:eastAsia="Times New Roman" w:cs="Times New Roman"/>
          <w:color w:val="000000"/>
          <w:sz w:val="22"/>
        </w:rPr>
        <w:t>Historical cutoff: 2025-12-31. Latest quarterly disclosure reviewed: 2026 estimate. Information cutoff: 6 October 2026. Models calculate from saved inputs without network calls.</w:t>
      </w:r>
    </w:p>
    <w:p>
      <w:pPr>
        <w:pStyle w:val="Heading1"/>
        <w:keepNext/>
        <w:widowControl/>
        <w:spacing w:line="276" w:lineRule="auto" w:before="253" w:after="0"/>
        <w:ind w:firstLine="0" w:left="0" w:right="0"/>
      </w:pPr>
      <w:r>
        <w:rPr>
          <w:rFonts w:ascii="Times New Roman" w:hAnsi="Times New Roman" w:eastAsia="Times New Roman" w:cs="Times New Roman"/>
          <w:b/>
          <w:color w:val="000000"/>
          <w:sz w:val="32"/>
        </w:rPr>
        <w:t>Investment considerations and monitoring</w:t>
      </w:r>
    </w:p>
    <w:tbl>
      <w:tblPr>
        <w:tblW w:type="dxa" w:w="9360"/>
        <w:jc w:val="center"/>
        <w:tblLayout w:type="fixed"/>
        <w:tblLook w:firstColumn="1" w:firstRow="1" w:lastColumn="0" w:lastRow="0" w:noHBand="0" w:noVBand="1" w:val="04A0"/>
        <w:tblBorders>
          <w:top w:val="single" w:sz="4" w:color="333333"/>
          <w:bottom w:val="single" w:sz="4" w:color="333333"/>
          <w:insideH w:val="single" w:sz="4" w:color="333333"/>
        </w:tblBorders>
      </w:tblPr>
      <w:tblGrid>
        <w:gridCol w:w="4962"/>
        <w:gridCol w:w="4398"/>
      </w:tblGrid>
      <w:tr>
        <w:trPr>
          <w:tblHeader/>
          <w:tblHeader/>
        </w:trPr>
        <w:tc>
          <w:tcPr>
            <w:tcW w:type="dxa" w:w="496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Principal risk</w:t>
            </w:r>
          </w:p>
        </w:tc>
        <w:tc>
          <w:tcPr>
            <w:tcW w:type="dxa" w:w="439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Monitoring action</w:t>
            </w:r>
          </w:p>
        </w:tc>
      </w:tr>
      <w:tr>
        <w:trPr/>
        <w:tc>
          <w:tcPr>
            <w:tcW w:type="dxa" w:w="496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Synthetic contracts include recognition cut-off exceptions.</w:t>
            </w:r>
          </w:p>
        </w:tc>
        <w:tc>
          <w:tcPr>
            <w:tcW w:type="dxa" w:w="439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Test contract milestones against recognition dates.</w:t>
            </w:r>
          </w:p>
        </w:tc>
      </w:tr>
      <w:tr>
        <w:trPr/>
        <w:tc>
          <w:tcPr>
            <w:tcW w:type="dxa" w:w="496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Founder compensation may need normalization.</w:t>
            </w:r>
          </w:p>
        </w:tc>
        <w:tc>
          <w:tcPr>
            <w:tcW w:type="dxa" w:w="439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Inspect post-period cash receipts and credit notes.</w:t>
            </w:r>
          </w:p>
        </w:tc>
      </w:tr>
      <w:tr>
        <w:trPr/>
        <w:tc>
          <w:tcPr>
            <w:tcW w:type="dxa" w:w="496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Deferred revenue is an obligation, not immediately distributable cash.</w:t>
            </w:r>
          </w:p>
        </w:tc>
        <w:tc>
          <w:tcPr>
            <w:tcW w:type="dxa" w:w="4398"/>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Agree a normalized working-capital target.</w:t>
            </w:r>
          </w:p>
        </w:tc>
      </w:tr>
      <w:tr>
        <w:trPr/>
        <w:tc>
          <w:tcPr>
            <w:tcW w:type="dxa" w:w="4962"/>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Customer concentration can conceal retention weakness.</w:t>
            </w:r>
          </w:p>
        </w:tc>
        <w:tc>
          <w:tcPr>
            <w:tcW w:type="dxa" w:w="4398"/>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Resolve debt-like liabilities before negotiating price.</w:t>
            </w:r>
          </w:p>
        </w:tc>
      </w:tr>
    </w:tbl>
    <w:p>
      <w:pPr>
        <w:spacing w:before="0" w:after="0" w:line="253" w:lineRule="exact"/>
      </w:pP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Model checks</w:t>
      </w:r>
    </w:p>
    <w:p>
      <w:pPr>
        <w:keepNext w:val="0"/>
        <w:widowControl/>
        <w:spacing w:line="276" w:lineRule="auto" w:before="0" w:after="253"/>
        <w:ind w:firstLine="0" w:left="0" w:right="0"/>
      </w:pPr>
      <w:r>
        <w:rPr>
          <w:rFonts w:ascii="Times New Roman" w:hAnsi="Times New Roman" w:eastAsia="Times New Roman" w:cs="Times New Roman"/>
          <w:color w:val="000000"/>
          <w:sz w:val="22"/>
        </w:rPr>
        <w:t>The workbook includes independent balance-sheet, cash and debt roll-forward checks. Valuation sensitivities calculate from projected cash flows. Covenant breaches and cash shortfalls remain visible economic findings. Original historical statement mappings and differences are maintained outside the public portfolio.</w:t>
      </w: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Decision conditions</w:t>
      </w:r>
    </w:p>
    <w:p>
      <w:pPr>
        <w:keepNext w:val="0"/>
        <w:widowControl/>
        <w:spacing w:line="276" w:lineRule="auto" w:before="0" w:after="253"/>
        <w:ind w:firstLine="0" w:left="0" w:right="0"/>
      </w:pPr>
      <w:r>
        <w:rPr>
          <w:rFonts w:ascii="Times New Roman" w:hAnsi="Times New Roman" w:eastAsia="Times New Roman" w:cs="Times New Roman"/>
          <w:color w:val="000000"/>
          <w:sz w:val="22"/>
        </w:rPr>
        <w:t>Resolve the cut-off adjustment and customer concentration before accepting the earnings or working-capital price bridge. The synthetic startup remains loss-making after normalization.</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right"/>
    </w:pPr>
    <w:r>
      <w:rPr>
        <w:rFonts w:ascii="Times New Roman" w:hAnsi="Times New Roman" w:eastAsia="Times New Roman" w:cs="Times New Roman"/>
        <w:color w:val="000000"/>
        <w:sz w:val="18"/>
      </w:rPr>
      <w:t xml:space="preserve">Eshan Mukherjee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rFonts w:ascii="Times New Roman" w:hAnsi="Times New Roman" w:eastAsia="Times New Roman" w:cs="Times New Roman"/>
        <w:color w:val="000000"/>
        <w:sz w:val="18"/>
      </w:rPr>
      <w:t>Swiss Real Estate Decision Software Startup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253" w:line="276" w:lineRule="auto" w:before="0"/>
      <w:ind w:firstLine="0"/>
    </w:pPr>
    <w:rPr>
      <w:rFonts w:ascii="Times New Roman" w:hAnsi="Times New Roman"/>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253" w:line="276" w:lineRule="auto" w:before="0"/>
      <w:ind w:firstLine="0"/>
    </w:pPr>
    <w:rPr>
      <w:rFonts w:ascii="Times New Roman" w:hAnsi="Times New Roman"/>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253" w:line="276" w:lineRule="auto" w:before="0"/>
      <w:ind w:firstLine="0"/>
    </w:pPr>
    <w:rPr>
      <w:rFonts w:ascii="Times New Roman" w:hAnsi="Times New Roman"/>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53" w:after="120" w:line="276" w:lineRule="auto"/>
      <w:ind w:firstLine="0"/>
      <w:outlineLvl w:val="0"/>
    </w:pPr>
    <w:rPr>
      <w:rFonts w:asciiTheme="majorHAnsi" w:eastAsiaTheme="majorEastAsia" w:hAnsiTheme="majorHAnsi" w:cstheme="majorBidi"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53" w:after="120" w:line="276" w:lineRule="auto"/>
      <w:ind w:firstLine="0"/>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widowControl/>
      <w:spacing w:before="253" w:after="120" w:line="276" w:lineRule="auto"/>
      <w:ind w:firstLine="0"/>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widowControl/>
      <w:spacing w:before="0" w:after="253" w:line="276" w:lineRule="auto"/>
      <w:ind w:firstLine="0"/>
      <w:outlineLvl w:val="3"/>
    </w:pPr>
    <w:rPr>
      <w:rFonts w:asciiTheme="majorHAnsi" w:eastAsiaTheme="majorEastAsia" w:hAnsiTheme="majorHAnsi" w:cstheme="majorBidi" w:ascii="Times New Roman" w:hAnsi="Times New Roman"/>
      <w:b/>
      <w:bCs/>
      <w:i/>
      <w:iCs/>
      <w:color w:val="000000"/>
      <w:sz w:val="22"/>
    </w:rPr>
  </w:style>
  <w:style w:type="paragraph" w:styleId="Heading5">
    <w:name w:val="heading 5"/>
    <w:basedOn w:val="Normal"/>
    <w:next w:val="Normal"/>
    <w:link w:val="Heading5Char"/>
    <w:uiPriority w:val="9"/>
    <w:semiHidden/>
    <w:unhideWhenUsed/>
    <w:qFormat/>
    <w:rsid w:val="00FC693F"/>
    <w:pPr>
      <w:keepNext/>
      <w:keepLines/>
      <w:widowControl/>
      <w:spacing w:before="0" w:after="253" w:line="276" w:lineRule="auto"/>
      <w:ind w:firstLine="0"/>
      <w:outlineLvl w:val="4"/>
    </w:pPr>
    <w:rPr>
      <w:rFonts w:asciiTheme="majorHAnsi" w:eastAsiaTheme="majorEastAsia" w:hAnsiTheme="majorHAnsi" w:cstheme="majorBidi" w:ascii="Times New Roman" w:hAnsi="Times New Roman"/>
      <w:color w:val="000000"/>
      <w:sz w:val="22"/>
    </w:rPr>
  </w:style>
  <w:style w:type="paragraph" w:styleId="Heading6">
    <w:name w:val="heading 6"/>
    <w:basedOn w:val="Normal"/>
    <w:next w:val="Normal"/>
    <w:link w:val="Heading6Char"/>
    <w:uiPriority w:val="9"/>
    <w:semiHidden/>
    <w:unhideWhenUsed/>
    <w:qFormat/>
    <w:rsid w:val="00FC693F"/>
    <w:pPr>
      <w:keepNext/>
      <w:keepLines/>
      <w:widowControl/>
      <w:spacing w:before="0" w:after="253" w:line="276" w:lineRule="auto"/>
      <w:ind w:firstLine="0"/>
      <w:outlineLvl w:val="5"/>
    </w:pPr>
    <w:rPr>
      <w:rFonts w:asciiTheme="majorHAnsi" w:eastAsiaTheme="majorEastAsia" w:hAnsiTheme="majorHAnsi" w:cstheme="majorBidi" w:ascii="Times New Roman" w:hAnsi="Times New Roman"/>
      <w:i/>
      <w:iCs/>
      <w:color w:val="000000"/>
      <w:sz w:val="22"/>
    </w:rPr>
  </w:style>
  <w:style w:type="paragraph" w:styleId="Heading7">
    <w:name w:val="heading 7"/>
    <w:basedOn w:val="Normal"/>
    <w:next w:val="Normal"/>
    <w:link w:val="Heading7Char"/>
    <w:uiPriority w:val="9"/>
    <w:semiHidden/>
    <w:unhideWhenUsed/>
    <w:qFormat/>
    <w:rsid w:val="00FC693F"/>
    <w:pPr>
      <w:keepNext/>
      <w:keepLines/>
      <w:widowControl/>
      <w:spacing w:before="0" w:after="253" w:line="276" w:lineRule="auto"/>
      <w:ind w:firstLine="0"/>
      <w:outlineLvl w:val="6"/>
    </w:pPr>
    <w:rPr>
      <w:rFonts w:asciiTheme="majorHAnsi" w:eastAsiaTheme="majorEastAsia" w:hAnsiTheme="majorHAnsi" w:cstheme="majorBidi" w:ascii="Times New Roman" w:hAnsi="Times New Roman"/>
      <w:i/>
      <w:iCs/>
      <w:color w:val="000000"/>
      <w:sz w:val="22"/>
    </w:rPr>
  </w:style>
  <w:style w:type="paragraph" w:styleId="Heading8">
    <w:name w:val="heading 8"/>
    <w:basedOn w:val="Normal"/>
    <w:next w:val="Normal"/>
    <w:link w:val="Heading8Char"/>
    <w:uiPriority w:val="9"/>
    <w:semiHidden/>
    <w:unhideWhenUsed/>
    <w:qFormat/>
    <w:rsid w:val="00FC693F"/>
    <w:pPr>
      <w:keepNext/>
      <w:keepLines/>
      <w:widowControl/>
      <w:spacing w:before="0" w:after="253" w:line="276" w:lineRule="auto"/>
      <w:ind w:firstLine="0"/>
      <w:outlineLvl w:val="7"/>
    </w:pPr>
    <w:rPr>
      <w:rFonts w:asciiTheme="majorHAnsi" w:eastAsiaTheme="majorEastAsia" w:hAnsiTheme="majorHAnsi" w:cstheme="majorBidi" w:ascii="Times New Roman" w:hAnsi="Times New Roman"/>
      <w:color w:val="000000"/>
      <w:sz w:val="22"/>
      <w:szCs w:val="20"/>
    </w:rPr>
  </w:style>
  <w:style w:type="paragraph" w:styleId="Heading9">
    <w:name w:val="heading 9"/>
    <w:basedOn w:val="Normal"/>
    <w:next w:val="Normal"/>
    <w:link w:val="Heading9Char"/>
    <w:uiPriority w:val="9"/>
    <w:semiHidden/>
    <w:unhideWhenUsed/>
    <w:qFormat/>
    <w:rsid w:val="00FC693F"/>
    <w:pPr>
      <w:keepNext/>
      <w:keepLines/>
      <w:widowControl/>
      <w:spacing w:before="0" w:after="253" w:line="276" w:lineRule="auto"/>
      <w:ind w:firstLine="0"/>
      <w:outlineLvl w:val="8"/>
    </w:pPr>
    <w:rPr>
      <w:rFonts w:asciiTheme="majorHAnsi" w:eastAsiaTheme="majorEastAsia" w:hAnsiTheme="majorHAnsi" w:cstheme="majorBidi" w:ascii="Times New Roman" w:hAnsi="Times New Roman"/>
      <w:i/>
      <w:iCs/>
      <w:color w:val="00000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widowControl/>
      <w:spacing w:after="253" w:line="276" w:lineRule="auto" w:before="0"/>
      <w:ind w:firstLine="0"/>
    </w:pPr>
    <w:rPr>
      <w:rFonts w:ascii="Times New Roman" w:hAnsi="Times New Roman"/>
      <w:color w:val="000000"/>
      <w:sz w:val="22"/>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53" w:line="276" w:lineRule="auto" w:before="0"/>
      <w:ind w:firstLine="0"/>
      <w:contextualSpacing/>
    </w:pPr>
    <w:rPr>
      <w:rFonts w:asciiTheme="majorHAnsi" w:eastAsiaTheme="majorEastAsia" w:hAnsiTheme="majorHAnsi" w:cstheme="majorBidi" w:ascii="Times New Roman" w:hAnsi="Times New Roman"/>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widowControl/>
      <w:numPr>
        <w:ilvl w:val="1"/>
      </w:numPr>
      <w:spacing w:line="276" w:lineRule="auto" w:before="0" w:after="253"/>
      <w:ind w:firstLine="0"/>
    </w:pPr>
    <w:rPr>
      <w:rFonts w:asciiTheme="majorHAnsi" w:eastAsiaTheme="majorEastAsia" w:hAnsiTheme="majorHAnsi" w:cstheme="majorBidi" w:ascii="Times New Roman" w:hAnsi="Times New Roman"/>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widowControl/>
      <w:spacing w:line="276" w:lineRule="auto" w:before="0" w:after="253"/>
      <w:ind w:left="720" w:firstLine="0"/>
      <w:contextualSpacing/>
    </w:pPr>
    <w:rPr>
      <w:rFonts w:ascii="Times New Roman" w:hAnsi="Times New Roman"/>
      <w:color w:val="000000"/>
      <w:sz w:val="22"/>
    </w:rPr>
  </w:style>
  <w:style w:type="paragraph" w:styleId="BodyText">
    <w:name w:val="Body Text"/>
    <w:basedOn w:val="Normal"/>
    <w:link w:val="BodyTextChar"/>
    <w:uiPriority w:val="99"/>
    <w:unhideWhenUsed/>
    <w:rsid w:val="00AA1D8D"/>
    <w:pPr>
      <w:widowControl/>
      <w:spacing w:after="253" w:line="276" w:lineRule="auto" w:before="0"/>
      <w:ind w:firstLine="0"/>
    </w:pPr>
    <w:rPr>
      <w:rFonts w:ascii="Times New Roman" w:hAnsi="Times New Roman"/>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widowControl/>
      <w:spacing w:after="253" w:line="276" w:lineRule="auto" w:before="0"/>
      <w:ind w:firstLine="0"/>
    </w:pPr>
    <w:rPr>
      <w:rFonts w:ascii="Times New Roman" w:hAnsi="Times New Roman"/>
      <w:color w:val="000000"/>
      <w:sz w:val="22"/>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widowControl/>
      <w:spacing w:after="253" w:line="276" w:lineRule="auto" w:before="0"/>
      <w:ind w:firstLine="0"/>
    </w:pPr>
    <w:rPr>
      <w:rFonts w:ascii="Times New Roman" w:hAnsi="Times New Roman"/>
      <w:color w:val="000000"/>
      <w:sz w:val="22"/>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widowControl/>
      <w:spacing w:line="276" w:lineRule="auto" w:before="0" w:after="253"/>
      <w:ind w:left="360" w:firstLine="0"/>
      <w:contextualSpacing/>
    </w:pPr>
    <w:rPr>
      <w:rFonts w:ascii="Times New Roman" w:hAnsi="Times New Roman"/>
      <w:color w:val="000000"/>
      <w:sz w:val="22"/>
    </w:rPr>
  </w:style>
  <w:style w:type="paragraph" w:styleId="List2">
    <w:name w:val="List 2"/>
    <w:basedOn w:val="Normal"/>
    <w:uiPriority w:val="99"/>
    <w:unhideWhenUsed/>
    <w:rsid w:val="00326F90"/>
    <w:pPr>
      <w:widowControl/>
      <w:spacing w:line="276" w:lineRule="auto" w:before="0" w:after="253"/>
      <w:ind w:left="720" w:firstLine="0"/>
      <w:contextualSpacing/>
    </w:pPr>
    <w:rPr>
      <w:rFonts w:ascii="Times New Roman" w:hAnsi="Times New Roman"/>
      <w:color w:val="000000"/>
      <w:sz w:val="22"/>
    </w:rPr>
  </w:style>
  <w:style w:type="paragraph" w:styleId="List3">
    <w:name w:val="List 3"/>
    <w:basedOn w:val="Normal"/>
    <w:uiPriority w:val="99"/>
    <w:unhideWhenUsed/>
    <w:rsid w:val="00326F90"/>
    <w:pPr>
      <w:widowControl/>
      <w:spacing w:line="276" w:lineRule="auto" w:before="0" w:after="253"/>
      <w:ind w:left="1080" w:firstLine="0"/>
      <w:contextualSpacing/>
    </w:pPr>
    <w:rPr>
      <w:rFonts w:ascii="Times New Roman" w:hAnsi="Times New Roman"/>
      <w:color w:val="000000"/>
      <w:sz w:val="22"/>
    </w:rPr>
  </w:style>
  <w:style w:type="paragraph" w:styleId="ListBullet">
    <w:name w:val="List Bullet"/>
    <w:basedOn w:val="Normal"/>
    <w:uiPriority w:val="99"/>
    <w:unhideWhenUsed/>
    <w:rsid w:val="00326F90"/>
    <w:pPr>
      <w:widowControl/>
      <w:numPr>
        <w:numId w:val="1"/>
      </w:numPr>
      <w:spacing w:line="276" w:lineRule="auto" w:before="0" w:after="253"/>
      <w:ind w:firstLine="0"/>
      <w:contextualSpacing/>
    </w:pPr>
    <w:rPr>
      <w:rFonts w:ascii="Times New Roman" w:hAnsi="Times New Roman"/>
      <w:color w:val="000000"/>
      <w:sz w:val="22"/>
    </w:rPr>
  </w:style>
  <w:style w:type="paragraph" w:styleId="ListBullet2">
    <w:name w:val="List Bullet 2"/>
    <w:basedOn w:val="Normal"/>
    <w:uiPriority w:val="99"/>
    <w:unhideWhenUsed/>
    <w:rsid w:val="00326F90"/>
    <w:pPr>
      <w:widowControl/>
      <w:numPr>
        <w:numId w:val="2"/>
      </w:numPr>
      <w:spacing w:line="276" w:lineRule="auto" w:before="0" w:after="253"/>
      <w:ind w:firstLine="0"/>
      <w:contextualSpacing/>
    </w:pPr>
    <w:rPr>
      <w:rFonts w:ascii="Times New Roman" w:hAnsi="Times New Roman"/>
      <w:color w:val="000000"/>
      <w:sz w:val="22"/>
    </w:rPr>
  </w:style>
  <w:style w:type="paragraph" w:styleId="ListBullet3">
    <w:name w:val="List Bullet 3"/>
    <w:basedOn w:val="Normal"/>
    <w:uiPriority w:val="99"/>
    <w:unhideWhenUsed/>
    <w:rsid w:val="00326F90"/>
    <w:pPr>
      <w:widowControl/>
      <w:numPr>
        <w:numId w:val="3"/>
      </w:numPr>
      <w:spacing w:line="276" w:lineRule="auto" w:before="0" w:after="253"/>
      <w:ind w:firstLine="0"/>
      <w:contextualSpacing/>
    </w:pPr>
    <w:rPr>
      <w:rFonts w:ascii="Times New Roman" w:hAnsi="Times New Roman"/>
      <w:color w:val="000000"/>
      <w:sz w:val="22"/>
    </w:rPr>
  </w:style>
  <w:style w:type="paragraph" w:styleId="ListNumber">
    <w:name w:val="List Number"/>
    <w:basedOn w:val="Normal"/>
    <w:uiPriority w:val="99"/>
    <w:unhideWhenUsed/>
    <w:rsid w:val="00326F90"/>
    <w:pPr>
      <w:widowControl/>
      <w:numPr>
        <w:numId w:val="5"/>
      </w:numPr>
      <w:spacing w:line="276" w:lineRule="auto" w:before="0" w:after="253"/>
      <w:ind w:firstLine="0"/>
      <w:contextualSpacing/>
    </w:pPr>
    <w:rPr>
      <w:rFonts w:ascii="Times New Roman" w:hAnsi="Times New Roman"/>
      <w:color w:val="000000"/>
      <w:sz w:val="22"/>
    </w:rPr>
  </w:style>
  <w:style w:type="paragraph" w:styleId="ListNumber2">
    <w:name w:val="List Number 2"/>
    <w:basedOn w:val="Normal"/>
    <w:uiPriority w:val="99"/>
    <w:unhideWhenUsed/>
    <w:rsid w:val="0029639D"/>
    <w:pPr>
      <w:widowControl/>
      <w:numPr>
        <w:numId w:val="6"/>
      </w:numPr>
      <w:spacing w:line="276" w:lineRule="auto" w:before="0" w:after="253"/>
      <w:ind w:firstLine="0"/>
      <w:contextualSpacing/>
    </w:pPr>
    <w:rPr>
      <w:rFonts w:ascii="Times New Roman" w:hAnsi="Times New Roman"/>
      <w:color w:val="000000"/>
      <w:sz w:val="22"/>
    </w:rPr>
  </w:style>
  <w:style w:type="paragraph" w:styleId="ListNumber3">
    <w:name w:val="List Number 3"/>
    <w:basedOn w:val="Normal"/>
    <w:uiPriority w:val="99"/>
    <w:unhideWhenUsed/>
    <w:rsid w:val="0029639D"/>
    <w:pPr>
      <w:widowControl/>
      <w:numPr>
        <w:numId w:val="7"/>
      </w:numPr>
      <w:spacing w:line="276" w:lineRule="auto" w:before="0" w:after="253"/>
      <w:ind w:firstLine="0"/>
      <w:contextualSpacing/>
    </w:pPr>
    <w:rPr>
      <w:rFonts w:ascii="Times New Roman" w:hAnsi="Times New Roman"/>
      <w:color w:val="000000"/>
      <w:sz w:val="22"/>
    </w:rPr>
  </w:style>
  <w:style w:type="paragraph" w:styleId="ListContinue">
    <w:name w:val="List Continue"/>
    <w:basedOn w:val="Normal"/>
    <w:uiPriority w:val="99"/>
    <w:unhideWhenUsed/>
    <w:rsid w:val="0029639D"/>
    <w:pPr>
      <w:widowControl/>
      <w:spacing w:after="253" w:line="276" w:lineRule="auto" w:before="0"/>
      <w:ind w:left="360" w:firstLine="0"/>
      <w:contextualSpacing/>
    </w:pPr>
    <w:rPr>
      <w:rFonts w:ascii="Times New Roman" w:hAnsi="Times New Roman"/>
      <w:color w:val="000000"/>
      <w:sz w:val="22"/>
    </w:rPr>
  </w:style>
  <w:style w:type="paragraph" w:styleId="ListContinue2">
    <w:name w:val="List Continue 2"/>
    <w:basedOn w:val="Normal"/>
    <w:uiPriority w:val="99"/>
    <w:unhideWhenUsed/>
    <w:rsid w:val="0029639D"/>
    <w:pPr>
      <w:widowControl/>
      <w:spacing w:after="253" w:line="276" w:lineRule="auto" w:before="0"/>
      <w:ind w:left="720" w:firstLine="0"/>
      <w:contextualSpacing/>
    </w:pPr>
    <w:rPr>
      <w:rFonts w:ascii="Times New Roman" w:hAnsi="Times New Roman"/>
      <w:color w:val="000000"/>
      <w:sz w:val="22"/>
    </w:rPr>
  </w:style>
  <w:style w:type="paragraph" w:styleId="ListContinue3">
    <w:name w:val="List Continue 3"/>
    <w:basedOn w:val="Normal"/>
    <w:uiPriority w:val="99"/>
    <w:unhideWhenUsed/>
    <w:rsid w:val="0029639D"/>
    <w:pPr>
      <w:widowControl/>
      <w:spacing w:after="253" w:line="276" w:lineRule="auto" w:before="0"/>
      <w:ind w:left="1080" w:firstLine="0"/>
      <w:contextualSpacing/>
    </w:pPr>
    <w:rPr>
      <w:rFonts w:ascii="Times New Roman" w:hAnsi="Times New Roman"/>
      <w:color w:val="000000"/>
      <w:sz w:val="22"/>
    </w:rPr>
  </w:style>
  <w:style w:type="paragraph" w:styleId="MacroText">
    <w:name w:val="macro"/>
    <w:link w:val="MacroTextChar"/>
    <w:uiPriority w:val="99"/>
    <w:unhideWhenUsed/>
    <w:rsid w:val="0029639D"/>
    <w:pPr>
      <w:widowControl/>
      <w:tabs>
        <w:tab w:val="left" w:pos="576"/>
        <w:tab w:val="left" w:pos="1152"/>
        <w:tab w:val="left" w:pos="1728"/>
        <w:tab w:val="left" w:pos="2304"/>
        <w:tab w:val="left" w:pos="2880"/>
        <w:tab w:val="left" w:pos="3456"/>
        <w:tab w:val="left" w:pos="4032"/>
      </w:tabs>
      <w:spacing w:line="276" w:lineRule="auto" w:before="0" w:after="253"/>
      <w:ind w:firstLine="0"/>
    </w:pPr>
    <w:rPr>
      <w:rFonts w:ascii="Times New Roman" w:hAnsi="Times New Roman"/>
      <w:color w:val="000000"/>
      <w:sz w:val="22"/>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widowControl/>
      <w:spacing w:line="276" w:lineRule="auto" w:before="0" w:after="253"/>
      <w:ind w:firstLine="0"/>
    </w:pPr>
    <w:rPr>
      <w:rFonts w:ascii="Times New Roman" w:hAnsi="Times New Roman"/>
      <w:i/>
      <w:iCs/>
      <w:color w:val="000000"/>
      <w:sz w:val="22"/>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76" w:lineRule="auto" w:before="0" w:after="253"/>
      <w:ind w:firstLine="0"/>
    </w:pPr>
    <w:rPr>
      <w:rFonts w:ascii="Times New Roman" w:hAnsi="Times New Roman"/>
      <w:b/>
      <w:bCs/>
      <w:color w:val="000000"/>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widowControl/>
      <w:spacing w:before="0" w:after="253" w:line="276" w:lineRule="auto"/>
      <w:ind w:left="936" w:right="936" w:firstLine="0"/>
    </w:pPr>
    <w:rPr>
      <w:rFonts w:ascii="Times New Roman" w:hAnsi="Times New Roman"/>
      <w:b/>
      <w:bCs/>
      <w:i/>
      <w:iCs/>
      <w:color w:val="000000"/>
      <w:sz w:val="22"/>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widowControl/>
      <w:spacing w:line="276" w:lineRule="auto" w:before="0" w:after="253"/>
      <w:ind w:firstLine="0"/>
      <w:outlineLvl w:val="9"/>
    </w:pPr>
    <w:rPr>
      <w:rFonts w:ascii="Times New Roman" w:hAnsi="Times New Roman"/>
      <w:color w:val="000000"/>
      <w:sz w:val="22"/>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Office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Swiss Real Estate Decision Software Startup</dc:title>
  <dc:subject>Swiss Real Estate Decision Software Startup</dc:subject>
  <dc:creator>Eshan Mukherjee</dc:creator>
  <cp:keywords/>
  <dc:description/>
  <cp:lastModifiedBy>Eshan Mukherjee</cp:lastModifiedBy>
  <cp:revision>1</cp:revision>
  <dcterms:created xsi:type="dcterms:W3CDTF">2013-12-23T23:15:00Z</dcterms:created>
  <dcterms:modified xsi:type="dcterms:W3CDTF">2013-12-23T23:15:00Z</dcterms:modified>
  <cp:category/>
</cp:coreProperties>
</file>