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widowControl/>
        <w:spacing w:line="276" w:lineRule="auto" w:before="0" w:after="253"/>
        <w:ind w:firstLine="0" w:left="0" w:right="0"/>
      </w:pPr>
      <w:r>
        <w:rPr>
          <w:rFonts w:ascii="Times New Roman" w:hAnsi="Times New Roman" w:eastAsia="Times New Roman" w:cs="Times New Roman"/>
          <w:b/>
          <w:color w:val="000000"/>
          <w:sz w:val="36"/>
        </w:rPr>
        <w:t>Vertical Software Borrower</w:t>
      </w:r>
    </w:p>
    <w:p>
      <w:pPr>
        <w:keepNext w:val="0"/>
        <w:widowControl/>
        <w:spacing w:line="276" w:lineRule="auto" w:before="0" w:after="253"/>
        <w:ind w:firstLine="0" w:left="0" w:right="0"/>
      </w:pPr>
      <w:r>
        <w:rPr>
          <w:rFonts w:ascii="Times New Roman" w:hAnsi="Times New Roman" w:eastAsia="Times New Roman" w:cs="Times New Roman"/>
          <w:color w:val="000000"/>
          <w:sz w:val="22"/>
        </w:rPr>
        <w:t>Eshan Mukherjee | 6 October 2026 | Independent portfolio sample</w:t>
      </w:r>
    </w:p>
    <w:p>
      <w:pPr>
        <w:pStyle w:val="Heading1"/>
        <w:keepNext/>
        <w:widowControl/>
        <w:spacing w:line="276" w:lineRule="auto" w:before="253" w:after="120"/>
        <w:ind w:firstLine="0" w:left="0" w:right="0"/>
      </w:pPr>
      <w:r>
        <w:rPr>
          <w:rFonts w:ascii="Times New Roman" w:hAnsi="Times New Roman" w:eastAsia="Times New Roman" w:cs="Times New Roman"/>
          <w:b/>
          <w:color w:val="000000"/>
          <w:sz w:val="32"/>
        </w:rPr>
        <w:t>Executive summary</w:t>
      </w:r>
    </w:p>
    <w:p>
      <w:pPr>
        <w:keepNext w:val="0"/>
        <w:widowControl/>
        <w:spacing w:line="276" w:lineRule="auto" w:before="0" w:after="253"/>
        <w:ind w:firstLine="0" w:left="0" w:right="0"/>
      </w:pPr>
      <w:r>
        <w:rPr>
          <w:rFonts w:ascii="Times New Roman" w:hAnsi="Times New Roman" w:eastAsia="Times New Roman" w:cs="Times New Roman"/>
          <w:color w:val="000000"/>
          <w:sz w:val="22"/>
        </w:rPr>
        <w:t>Underwrite the borrower on unrestricted liquidity and post-investment cash flow. Customer funds cannot repay corporate debt. AI-related retention pressure makes a refinancing stress and covenant cushion more useful than a headline recurring-revenue multiple. Loan terms are hypothetical.</w:t>
      </w:r>
    </w:p>
    <w:p>
      <w:pPr>
        <w:keepNext w:val="0"/>
        <w:widowControl/>
        <w:spacing w:line="276" w:lineRule="auto" w:before="0" w:after="253"/>
        <w:ind w:firstLine="0" w:left="0" w:right="0"/>
      </w:pPr>
      <w:r>
        <w:rPr>
          <w:rFonts w:ascii="Times New Roman" w:hAnsi="Times New Roman" w:eastAsia="Times New Roman" w:cs="Times New Roman"/>
          <w:color w:val="000000"/>
          <w:sz w:val="22"/>
        </w:rPr>
        <w:t>Historical financials are reported. Forecasts and transaction structures are illustrative analyst assumptions. No fund investment or executed transaction is implied.</w:t>
      </w:r>
    </w:p>
    <w:p>
      <w:pPr>
        <w:pStyle w:val="Heading1"/>
        <w:keepNext/>
        <w:widowControl/>
        <w:spacing w:line="276" w:lineRule="auto" w:before="253" w:after="0"/>
        <w:ind w:firstLine="0" w:left="0" w:right="0"/>
      </w:pPr>
      <w:r>
        <w:rPr>
          <w:rFonts w:ascii="Times New Roman" w:hAnsi="Times New Roman" w:eastAsia="Times New Roman" w:cs="Times New Roman"/>
          <w:b/>
          <w:color w:val="000000"/>
          <w:sz w:val="32"/>
        </w:rPr>
        <w:t>Financial review</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3332"/>
        <w:gridCol w:w="1924"/>
        <w:gridCol w:w="1924"/>
        <w:gridCol w:w="2181"/>
      </w:tblGrid>
      <w:tr>
        <w:trPr>
          <w:tblHeader/>
        </w:trPr>
        <w:tc>
          <w:tcPr>
            <w:tcW w:type="dxa" w:w="333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Metric (USD millions)</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2024</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2025</w:t>
            </w:r>
          </w:p>
        </w:tc>
        <w:tc>
          <w:tcPr>
            <w:tcW w:type="dxa" w:w="2181"/>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base</w:t>
            </w:r>
          </w:p>
        </w:tc>
      </w:tr>
      <w:tr>
        <w:trPr/>
        <w:tc>
          <w:tcPr>
            <w:tcW w:type="dxa" w:w="333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Revenue</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1,154.6</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1,128.4</w:t>
            </w:r>
          </w:p>
        </w:tc>
        <w:tc>
          <w:tcPr>
            <w:tcW w:type="dxa" w:w="2181"/>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1,190.9</w:t>
            </w:r>
          </w:p>
        </w:tc>
      </w:tr>
      <w:tr>
        <w:trPr/>
        <w:tc>
          <w:tcPr>
            <w:tcW w:type="dxa" w:w="3332"/>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EBITDA proxy</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-149.7</w:t>
            </w:r>
          </w:p>
        </w:tc>
        <w:tc>
          <w:tcPr>
            <w:tcW w:type="dxa" w:w="192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277.0</w:t>
            </w:r>
          </w:p>
        </w:tc>
        <w:tc>
          <w:tcPr>
            <w:tcW w:type="dxa" w:w="2181"/>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321.6</w:t>
            </w:r>
          </w:p>
        </w:tc>
      </w:tr>
      <w:tr>
        <w:trPr/>
        <w:tc>
          <w:tcPr>
            <w:tcW w:type="dxa" w:w="3332"/>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Unrestricted cash</w:t>
            </w:r>
          </w:p>
        </w:tc>
        <w:tc>
          <w:tcPr>
            <w:tcW w:type="dxa" w:w="1924"/>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67.6</w:t>
            </w:r>
          </w:p>
        </w:tc>
        <w:tc>
          <w:tcPr>
            <w:tcW w:type="dxa" w:w="1924"/>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38.9</w:t>
            </w:r>
          </w:p>
        </w:tc>
        <w:tc>
          <w:tcPr>
            <w:tcW w:type="dxa" w:w="2181"/>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1,085.1</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EBITDA proxy equals reported operating income plus the mapped depreciation and amortization line. It is not management-adjusted EBITDA.</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1880"/>
        <w:gridCol w:w="2303"/>
        <w:gridCol w:w="2205"/>
        <w:gridCol w:w="2973"/>
      </w:tblGrid>
      <w:tr>
        <w:trPr>
          <w:tblHeade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Scenario</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revenue</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2031 EBITDA</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DCF enterprise value</w:t>
            </w:r>
          </w:p>
        </w:tc>
      </w:tr>
      <w:t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Base</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1,190.9</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321.6</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1,603.8</w:t>
            </w:r>
          </w:p>
        </w:tc>
      </w:tr>
      <w:tr>
        <w:trPr/>
        <w:tc>
          <w:tcPr>
            <w:tcW w:type="dxa" w:w="1880"/>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Upside</w:t>
            </w:r>
          </w:p>
        </w:tc>
        <w:tc>
          <w:tcPr>
            <w:tcW w:type="dxa" w:w="230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1,592.0</w:t>
            </w:r>
          </w:p>
        </w:tc>
        <w:tc>
          <w:tcPr>
            <w:tcW w:type="dxa" w:w="2205"/>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469.6</w:t>
            </w:r>
          </w:p>
        </w:tc>
        <w:tc>
          <w:tcPr>
            <w:tcW w:type="dxa" w:w="297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2,560.0</w:t>
            </w:r>
          </w:p>
        </w:tc>
      </w:tr>
      <w:tr>
        <w:trPr/>
        <w:tc>
          <w:tcPr>
            <w:tcW w:type="dxa" w:w="1880"/>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Downside</w:t>
            </w:r>
          </w:p>
        </w:tc>
        <w:tc>
          <w:tcPr>
            <w:tcW w:type="dxa" w:w="230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725.5</w:t>
            </w:r>
          </w:p>
        </w:tc>
        <w:tc>
          <w:tcPr>
            <w:tcW w:type="dxa" w:w="2205"/>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166.9</w:t>
            </w:r>
          </w:p>
        </w:tc>
        <w:tc>
          <w:tcPr>
            <w:tcW w:type="dxa" w:w="297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597.1</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The scenario comparison is a dated snapshot. The workbook selector recalculates the live schedules. Negative continuation DCF values require a restructuring or financing response.</w:t>
      </w:r>
    </w:p>
    <w:p>
      <w:pPr>
        <w:pStyle w:val="Heading1"/>
        <w:keepNext/>
        <w:widowControl/>
        <w:spacing w:line="276" w:lineRule="auto" w:before="253" w:after="120"/>
        <w:ind w:firstLine="0" w:left="0" w:right="0"/>
      </w:pPr>
      <w:r>
        <w:rPr>
          <w:rFonts w:ascii="Times New Roman" w:hAnsi="Times New Roman" w:eastAsia="Times New Roman" w:cs="Times New Roman"/>
          <w:b/>
          <w:color w:val="000000"/>
          <w:sz w:val="32"/>
        </w:rPr>
        <w:t>Business and transaction structure</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Available liquidity</w:t>
      </w:r>
    </w:p>
    <w:p>
      <w:pPr>
        <w:keepNext w:val="0"/>
        <w:widowControl/>
        <w:spacing w:line="276" w:lineRule="auto" w:before="0" w:after="253"/>
        <w:ind w:firstLine="0" w:left="0" w:right="0"/>
      </w:pPr>
      <w:r>
        <w:rPr>
          <w:rFonts w:ascii="Times New Roman" w:hAnsi="Times New Roman" w:eastAsia="Times New Roman" w:cs="Times New Roman"/>
          <w:color w:val="000000"/>
          <w:sz w:val="22"/>
        </w:rPr>
        <w:t>At the latest annual date, unrestricted cash is USD 38.9 million, compared with USD 720.1 million restricted and customer cash. The restricted balance is shown separately and contributes zero to corporate net debt reduction. Reported debt carrying value is distinguished from hypothetical lending terms.</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Debt capacity</w:t>
      </w:r>
    </w:p>
    <w:p>
      <w:pPr>
        <w:keepNext w:val="0"/>
        <w:widowControl/>
        <w:spacing w:line="276" w:lineRule="auto" w:before="0" w:after="253"/>
        <w:ind w:firstLine="0" w:left="0" w:right="0"/>
      </w:pPr>
      <w:r>
        <w:rPr>
          <w:rFonts w:ascii="Times New Roman" w:hAnsi="Times New Roman" w:eastAsia="Times New Roman" w:cs="Times New Roman"/>
          <w:color w:val="000000"/>
          <w:sz w:val="22"/>
        </w:rPr>
        <w:t>The hypothetical loan uses 9% cash interest, 2% PIK interest and 2% annual amortization. PIK accrues to the debt balance and is added back to operating cash. Illustrative maintenance limits are 4.5x net leverage and 2.5x cash interest coverage.</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Refinancing and recovery</w:t>
      </w:r>
    </w:p>
    <w:p>
      <w:pPr>
        <w:keepNext w:val="0"/>
        <w:widowControl/>
        <w:spacing w:line="276" w:lineRule="auto" w:before="0" w:after="253"/>
        <w:ind w:firstLine="0" w:left="0" w:right="0"/>
      </w:pPr>
      <w:r>
        <w:rPr>
          <w:rFonts w:ascii="Times New Roman" w:hAnsi="Times New Roman" w:eastAsia="Times New Roman" w:cs="Times New Roman"/>
          <w:color w:val="000000"/>
          <w:sz w:val="22"/>
        </w:rPr>
        <w:t>A 2029 balloon stress compares the outstanding claim with refinancing capacity and cash above the reserve. The operating forecast does not assume an automatic refinance. The recovery waterfall applies an EBITDA haircut, enforcement costs and priority claims before senior debt recovery.</w:t>
      </w:r>
    </w:p>
    <w:p>
      <w:pPr>
        <w:pStyle w:val="Heading2"/>
        <w:keepNext/>
        <w:widowControl/>
        <w:spacing w:line="276" w:lineRule="auto" w:before="253" w:after="0"/>
        <w:ind w:firstLine="0" w:left="0" w:right="0"/>
      </w:pPr>
      <w:r>
        <w:rPr>
          <w:rFonts w:ascii="Times New Roman" w:hAnsi="Times New Roman" w:eastAsia="Times New Roman" w:cs="Times New Roman"/>
          <w:b/>
          <w:color w:val="000000"/>
          <w:sz w:val="28"/>
        </w:rPr>
        <w:t>Evidence classes</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3067"/>
        <w:gridCol w:w="6293"/>
      </w:tblGrid>
      <w:tr>
        <w:trPr>
          <w:tblHeade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Class</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Treatment</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Reported fact</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Historical statement figures and dated public disclosures.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Management guidance</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Qualitative outlook reviewed separately from analyst forecasts.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Analyst assumption</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Growth, margins, capital intensity, discount rate and scenario drivers.</w:t>
            </w:r>
          </w:p>
        </w:tc>
      </w:tr>
      <w:tr>
        <w:trPr/>
        <w:tc>
          <w:tcPr>
            <w:tcW w:type="dxa" w:w="3067"/>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Hypothetical terms</w:t>
            </w:r>
          </w:p>
        </w:tc>
        <w:tc>
          <w:tcPr>
            <w:tcW w:type="dxa" w:w="6293"/>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Financing, sponsor ownership, fees, covenants and recovery assumptions.</w:t>
            </w:r>
          </w:p>
        </w:tc>
      </w:tr>
      <w:tr>
        <w:trPr/>
        <w:tc>
          <w:tcPr>
            <w:tcW w:type="dxa" w:w="3067"/>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Synthetic record</w:t>
            </w:r>
          </w:p>
        </w:tc>
        <w:tc>
          <w:tcPr>
            <w:tcW w:type="dxa" w:w="6293"/>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All private-startup financial history, customer accounts and staffing economics.</w:t>
            </w:r>
          </w:p>
        </w:tc>
      </w:tr>
    </w:tbl>
    <w:p>
      <w:pPr>
        <w:spacing w:before="0" w:after="0" w:line="253" w:lineRule="exact"/>
      </w:pPr>
    </w:p>
    <w:p>
      <w:pPr>
        <w:keepNext w:val="0"/>
        <w:widowControl/>
        <w:spacing w:line="276" w:lineRule="auto" w:before="0" w:after="253"/>
        <w:ind w:firstLine="0" w:left="0" w:right="0"/>
      </w:pPr>
      <w:r>
        <w:rPr>
          <w:rFonts w:ascii="Times New Roman" w:hAnsi="Times New Roman" w:eastAsia="Times New Roman" w:cs="Times New Roman"/>
          <w:color w:val="000000"/>
          <w:sz w:val="22"/>
        </w:rPr>
        <w:t>Historical cutoff: 2025-12-31. Latest quarterly disclosure reviewed: 2026-06-30. Information cutoff: 6 October 2026. Models calculate from saved inputs without network calls.</w:t>
      </w:r>
    </w:p>
    <w:p>
      <w:pPr>
        <w:pStyle w:val="Heading1"/>
        <w:keepNext/>
        <w:widowControl/>
        <w:spacing w:line="276" w:lineRule="auto" w:before="253" w:after="0"/>
        <w:ind w:firstLine="0" w:left="0" w:right="0"/>
      </w:pPr>
      <w:r>
        <w:rPr>
          <w:rFonts w:ascii="Times New Roman" w:hAnsi="Times New Roman" w:eastAsia="Times New Roman" w:cs="Times New Roman"/>
          <w:b/>
          <w:color w:val="000000"/>
          <w:sz w:val="32"/>
        </w:rPr>
        <w:t>Investment considerations and monitoring</w:t>
      </w:r>
    </w:p>
    <w:tbl>
      <w:tblPr>
        <w:tblW w:type="dxa" w:w="9360"/>
        <w:jc w:val="center"/>
        <w:tblLayout w:type="fixed"/>
        <w:tblLook w:firstColumn="1" w:firstRow="1" w:lastColumn="0" w:lastRow="0" w:noHBand="0" w:noVBand="1" w:val="04A0"/>
        <w:tblBorders>
          <w:top w:val="single" w:sz="4" w:color="333333"/>
          <w:bottom w:val="single" w:sz="4" w:color="333333"/>
          <w:insideH w:val="single" w:sz="4" w:color="333333"/>
        </w:tblBorders>
      </w:tblPr>
      <w:tblGrid>
        <w:gridCol w:w="4886"/>
        <w:gridCol w:w="4474"/>
      </w:tblGrid>
      <w:tr>
        <w:trPr>
          <w:tblHeader/>
        </w:trPr>
        <w:tc>
          <w:tcPr>
            <w:tcW w:type="dxa" w:w="4886"/>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Principal risk</w:t>
            </w:r>
          </w:p>
        </w:tc>
        <w:tc>
          <w:tcPr>
            <w:tcW w:type="dxa" w:w="447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color w:val="000000"/>
                <w:sz w:val="20"/>
              </w:rPr>
              <w:t>Monitoring action</w:t>
            </w:r>
          </w:p>
        </w:tc>
      </w:tr>
      <w:tr>
        <w:trPr/>
        <w:tc>
          <w:tcPr>
            <w:tcW w:type="dxa" w:w="4886"/>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AI disruption can pressure retention and pricing.</w:t>
            </w:r>
          </w:p>
        </w:tc>
        <w:tc>
          <w:tcPr>
            <w:tcW w:type="dxa" w:w="447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Monitor gross retention and collection timing monthly.</w:t>
            </w:r>
          </w:p>
        </w:tc>
      </w:tr>
      <w:tr>
        <w:trPr/>
        <w:tc>
          <w:tcPr>
            <w:tcW w:type="dxa" w:w="4886"/>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Customer and restricted funds are unavailable to lenders.</w:t>
            </w:r>
          </w:p>
        </w:tc>
        <w:tc>
          <w:tcPr>
            <w:tcW w:type="dxa" w:w="447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Reconcile unrestricted cash with customer funds.</w:t>
            </w:r>
          </w:p>
        </w:tc>
      </w:tr>
      <w:tr>
        <w:trPr/>
        <w:tc>
          <w:tcPr>
            <w:tcW w:type="dxa" w:w="4886"/>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Capitalized software costs lower reported operating expense.</w:t>
            </w:r>
          </w:p>
        </w:tc>
        <w:tc>
          <w:tcPr>
            <w:tcW w:type="dxa" w:w="4474"/>
            <w:vAlign w:val="center"/>
            <w:tcMar>
              <w:top w:w="85" w:type="dxa"/>
              <w:bottom w:w="85" w:type="dxa"/>
              <w:left w:w="85" w:type="dxa"/>
              <w:right w:w="85" w:type="dxa"/>
            </w:tcMar>
          </w:tcPr>
          <w:p>
            <w:pPr>
              <w:keepNext/>
              <w:spacing w:after="60" w:before="60" w:line="240" w:lineRule="auto"/>
              <w:ind w:firstLine="0"/>
            </w:pPr>
            <w:r>
              <w:rPr>
                <w:rFonts w:ascii="Times New Roman" w:hAnsi="Times New Roman" w:eastAsia="Times New Roman" w:cs="Times New Roman"/>
                <w:b w:val="0"/>
                <w:color w:val="000000"/>
                <w:sz w:val="20"/>
              </w:rPr>
              <w:t>Track covenant definitions and cash interest coverage.</w:t>
            </w:r>
          </w:p>
        </w:tc>
      </w:tr>
      <w:tr>
        <w:trPr/>
        <w:tc>
          <w:tcPr>
            <w:tcW w:type="dxa" w:w="4886"/>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A concentrated maturity can require refinancing during weak markets.</w:t>
            </w:r>
          </w:p>
        </w:tc>
        <w:tc>
          <w:tcPr>
            <w:tcW w:type="dxa" w:w="4474"/>
            <w:vAlign w:val="center"/>
            <w:tcMar>
              <w:top w:w="85" w:type="dxa"/>
              <w:bottom w:w="85" w:type="dxa"/>
              <w:left w:w="85" w:type="dxa"/>
              <w:right w:w="85" w:type="dxa"/>
            </w:tcMar>
          </w:tcPr>
          <w:p>
            <w:pPr>
              <w:keepNext w:val="0"/>
              <w:spacing w:after="60" w:before="60" w:line="240" w:lineRule="auto"/>
              <w:ind w:firstLine="0"/>
            </w:pPr>
            <w:r>
              <w:rPr>
                <w:rFonts w:ascii="Times New Roman" w:hAnsi="Times New Roman" w:eastAsia="Times New Roman" w:cs="Times New Roman"/>
                <w:b w:val="0"/>
                <w:color w:val="000000"/>
                <w:sz w:val="20"/>
              </w:rPr>
              <w:t>Require a credible maturity plan before extending credit.</w:t>
            </w:r>
          </w:p>
        </w:tc>
      </w:tr>
    </w:tbl>
    <w:p>
      <w:pPr>
        <w:spacing w:before="0" w:after="0" w:line="253" w:lineRule="exact"/>
      </w:pP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Model checks</w:t>
      </w:r>
    </w:p>
    <w:p>
      <w:pPr>
        <w:keepNext w:val="0"/>
        <w:widowControl/>
        <w:spacing w:line="276" w:lineRule="auto" w:before="0" w:after="253"/>
        <w:ind w:firstLine="0" w:left="0" w:right="0"/>
      </w:pPr>
      <w:r>
        <w:rPr>
          <w:rFonts w:ascii="Times New Roman" w:hAnsi="Times New Roman" w:eastAsia="Times New Roman" w:cs="Times New Roman"/>
          <w:color w:val="000000"/>
          <w:sz w:val="22"/>
        </w:rPr>
        <w:t>The workbook includes independent balance-sheet, cash and debt roll-forward checks. Valuation sensitivities calculate from projected cash flows. Covenant breaches and cash shortfalls remain visible economic findings. Original historical statement mappings and differences are maintained outside the public portfolio.</w:t>
      </w:r>
    </w:p>
    <w:p>
      <w:pPr>
        <w:pStyle w:val="Heading2"/>
        <w:keepNext/>
        <w:widowControl/>
        <w:spacing w:line="276" w:lineRule="auto" w:before="253" w:after="120"/>
        <w:ind w:firstLine="0" w:left="0" w:right="0"/>
      </w:pPr>
      <w:r>
        <w:rPr>
          <w:rFonts w:ascii="Times New Roman" w:hAnsi="Times New Roman" w:eastAsia="Times New Roman" w:cs="Times New Roman"/>
          <w:b/>
          <w:color w:val="000000"/>
          <w:sz w:val="28"/>
        </w:rPr>
        <w:t>Decision conditions</w:t>
      </w:r>
    </w:p>
    <w:p>
      <w:pPr>
        <w:keepNext w:val="0"/>
        <w:widowControl/>
        <w:spacing w:line="276" w:lineRule="auto" w:before="0" w:after="253"/>
        <w:ind w:firstLine="0" w:left="0" w:right="0"/>
      </w:pPr>
      <w:r>
        <w:rPr>
          <w:rFonts w:ascii="Times New Roman" w:hAnsi="Times New Roman" w:eastAsia="Times New Roman" w:cs="Times New Roman"/>
          <w:color w:val="000000"/>
          <w:sz w:val="22"/>
        </w:rPr>
        <w:t>Require adequate downside interest coverage and a credible 2029 maturity plan. Restrict distributions when covenant headroom or unrestricted liquidity deteriorates.</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jc w:val="right"/>
    </w:pPr>
    <w:r>
      <w:rPr>
        <w:rFonts w:ascii="Times New Roman" w:hAnsi="Times New Roman" w:eastAsia="Times New Roman" w:cs="Times New Roman"/>
        <w:color w:val="000000"/>
        <w:sz w:val="18"/>
      </w:rPr>
      <w:t xml:space="preserve">Eshan Mukherjee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Times New Roman" w:hAnsi="Times New Roman" w:eastAsia="Times New Roman" w:cs="Times New Roman"/>
        <w:color w:val="000000"/>
        <w:sz w:val="18"/>
      </w:rPr>
      <w:t>Vertical Software Borrower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253" w:line="276" w:lineRule="auto" w:before="0"/>
      <w:ind w:firstLine="0"/>
    </w:pPr>
    <w:rPr>
      <w:rFonts w:ascii="Times New Roman" w:hAnsi="Times New Roman"/>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253" w:line="276" w:lineRule="auto" w:before="0"/>
      <w:ind w:firstLine="0"/>
    </w:pPr>
    <w:rPr>
      <w:rFonts w:ascii="Times New Roman" w:hAnsi="Times New Roman"/>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253" w:line="276" w:lineRule="auto" w:before="0"/>
      <w:ind w:firstLine="0"/>
    </w:pPr>
    <w:rPr>
      <w:rFonts w:ascii="Times New Roman" w:hAnsi="Times New Roman"/>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53" w:after="120" w:line="276" w:lineRule="auto"/>
      <w:ind w:firstLine="0"/>
      <w:outlineLvl w:val="0"/>
    </w:pPr>
    <w:rPr>
      <w:rFonts w:asciiTheme="majorHAnsi" w:eastAsiaTheme="majorEastAsia" w:hAnsiTheme="majorHAnsi"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53" w:after="120" w:line="276" w:lineRule="auto"/>
      <w:ind w:firstLine="0"/>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widowControl/>
      <w:spacing w:before="253" w:after="120" w:line="276" w:lineRule="auto"/>
      <w:ind w:firstLine="0"/>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widowControl/>
      <w:spacing w:before="0" w:after="253" w:line="276" w:lineRule="auto"/>
      <w:ind w:firstLine="0"/>
      <w:outlineLvl w:val="3"/>
    </w:pPr>
    <w:rPr>
      <w:rFonts w:asciiTheme="majorHAnsi" w:eastAsiaTheme="majorEastAsia" w:hAnsiTheme="majorHAnsi" w:cstheme="majorBidi" w:ascii="Times New Roman" w:hAnsi="Times New Roman"/>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0" w:after="253" w:line="276" w:lineRule="auto"/>
      <w:ind w:firstLine="0"/>
      <w:outlineLvl w:val="4"/>
    </w:pPr>
    <w:rPr>
      <w:rFonts w:asciiTheme="majorHAnsi" w:eastAsiaTheme="majorEastAsia" w:hAnsiTheme="majorHAnsi" w:cstheme="majorBidi" w:ascii="Times New Roman" w:hAnsi="Times New Roman"/>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0" w:after="253" w:line="276" w:lineRule="auto"/>
      <w:ind w:firstLine="0"/>
      <w:outlineLvl w:val="5"/>
    </w:pPr>
    <w:rPr>
      <w:rFonts w:asciiTheme="majorHAnsi" w:eastAsiaTheme="majorEastAsia" w:hAnsiTheme="majorHAnsi" w:cstheme="majorBidi" w:ascii="Times New Roman" w:hAnsi="Times New Roman"/>
      <w:i/>
      <w:iCs/>
      <w:color w:val="000000"/>
      <w:sz w:val="22"/>
    </w:rPr>
  </w:style>
  <w:style w:type="paragraph" w:styleId="Heading7">
    <w:name w:val="heading 7"/>
    <w:basedOn w:val="Normal"/>
    <w:next w:val="Normal"/>
    <w:link w:val="Heading7Char"/>
    <w:uiPriority w:val="9"/>
    <w:semiHidden/>
    <w:unhideWhenUsed/>
    <w:qFormat/>
    <w:rsid w:val="00FC693F"/>
    <w:pPr>
      <w:keepNext/>
      <w:keepLines/>
      <w:widowControl/>
      <w:spacing w:before="0" w:after="253" w:line="276" w:lineRule="auto"/>
      <w:ind w:firstLine="0"/>
      <w:outlineLvl w:val="6"/>
    </w:pPr>
    <w:rPr>
      <w:rFonts w:asciiTheme="majorHAnsi" w:eastAsiaTheme="majorEastAsia" w:hAnsiTheme="majorHAnsi" w:cstheme="majorBidi" w:ascii="Times New Roman" w:hAnsi="Times New Roman"/>
      <w:i/>
      <w:iCs/>
      <w:color w:val="000000"/>
      <w:sz w:val="22"/>
    </w:rPr>
  </w:style>
  <w:style w:type="paragraph" w:styleId="Heading8">
    <w:name w:val="heading 8"/>
    <w:basedOn w:val="Normal"/>
    <w:next w:val="Normal"/>
    <w:link w:val="Heading8Char"/>
    <w:uiPriority w:val="9"/>
    <w:semiHidden/>
    <w:unhideWhenUsed/>
    <w:qFormat/>
    <w:rsid w:val="00FC693F"/>
    <w:pPr>
      <w:keepNext/>
      <w:keepLines/>
      <w:widowControl/>
      <w:spacing w:before="0" w:after="253" w:line="276" w:lineRule="auto"/>
      <w:ind w:firstLine="0"/>
      <w:outlineLvl w:val="7"/>
    </w:pPr>
    <w:rPr>
      <w:rFonts w:asciiTheme="majorHAnsi" w:eastAsiaTheme="majorEastAsia" w:hAnsiTheme="majorHAnsi" w:cstheme="majorBidi" w:ascii="Times New Roman" w:hAnsi="Times New Roman"/>
      <w:color w:val="000000"/>
      <w:sz w:val="22"/>
      <w:szCs w:val="20"/>
    </w:rPr>
  </w:style>
  <w:style w:type="paragraph" w:styleId="Heading9">
    <w:name w:val="heading 9"/>
    <w:basedOn w:val="Normal"/>
    <w:next w:val="Normal"/>
    <w:link w:val="Heading9Char"/>
    <w:uiPriority w:val="9"/>
    <w:semiHidden/>
    <w:unhideWhenUsed/>
    <w:qFormat/>
    <w:rsid w:val="00FC693F"/>
    <w:pPr>
      <w:keepNext/>
      <w:keepLines/>
      <w:widowControl/>
      <w:spacing w:before="0" w:after="253" w:line="276" w:lineRule="auto"/>
      <w:ind w:firstLine="0"/>
      <w:outlineLvl w:val="8"/>
    </w:pPr>
    <w:rPr>
      <w:rFonts w:asciiTheme="majorHAnsi" w:eastAsiaTheme="majorEastAsia" w:hAnsiTheme="majorHAnsi" w:cstheme="majorBidi" w:ascii="Times New Roman" w:hAnsi="Times New Roman"/>
      <w:i/>
      <w:i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253" w:line="276" w:lineRule="auto" w:before="0"/>
      <w:ind w:firstLine="0"/>
    </w:pPr>
    <w:rPr>
      <w:rFonts w:ascii="Times New Roman" w:hAnsi="Times New Roman"/>
      <w:color w:val="000000"/>
      <w:sz w:val="22"/>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53" w:line="276" w:lineRule="auto" w:before="0"/>
      <w:ind w:firstLine="0"/>
      <w:contextualSpacing/>
    </w:pPr>
    <w:rPr>
      <w:rFonts w:asciiTheme="majorHAnsi" w:eastAsiaTheme="majorEastAsia" w:hAnsiTheme="majorHAnsi" w:cstheme="majorBidi" w:ascii="Times New Roman" w:hAnsi="Times New Roma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line="276" w:lineRule="auto" w:before="0" w:after="253"/>
      <w:ind w:firstLine="0"/>
    </w:pPr>
    <w:rPr>
      <w:rFonts w:asciiTheme="majorHAnsi" w:eastAsiaTheme="majorEastAsia" w:hAnsiTheme="majorHAnsi" w:cstheme="majorBidi" w:ascii="Times New Roman" w:hAnsi="Times New Roman"/>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spacing w:line="276" w:lineRule="auto" w:before="0" w:after="253"/>
      <w:ind w:left="720" w:firstLine="0"/>
      <w:contextualSpacing/>
    </w:pPr>
    <w:rPr>
      <w:rFonts w:ascii="Times New Roman" w:hAnsi="Times New Roman"/>
      <w:color w:val="000000"/>
      <w:sz w:val="22"/>
    </w:rPr>
  </w:style>
  <w:style w:type="paragraph" w:styleId="BodyText">
    <w:name w:val="Body Text"/>
    <w:basedOn w:val="Normal"/>
    <w:link w:val="BodyTextChar"/>
    <w:uiPriority w:val="99"/>
    <w:unhideWhenUsed/>
    <w:rsid w:val="00AA1D8D"/>
    <w:pPr>
      <w:widowControl/>
      <w:spacing w:after="253" w:line="276" w:lineRule="auto" w:before="0"/>
      <w:ind w:firstLine="0"/>
    </w:pPr>
    <w:rPr>
      <w:rFonts w:ascii="Times New Roman" w:hAnsi="Times New Roman"/>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253" w:line="276" w:lineRule="auto" w:before="0"/>
      <w:ind w:firstLine="0"/>
    </w:pPr>
    <w:rPr>
      <w:rFonts w:ascii="Times New Roman" w:hAnsi="Times New Roman"/>
      <w:color w:val="000000"/>
      <w:sz w:val="22"/>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253" w:line="276" w:lineRule="auto" w:before="0"/>
      <w:ind w:firstLine="0"/>
    </w:pPr>
    <w:rPr>
      <w:rFonts w:ascii="Times New Roman" w:hAnsi="Times New Roman"/>
      <w:color w:val="000000"/>
      <w:sz w:val="22"/>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spacing w:line="276" w:lineRule="auto" w:before="0" w:after="253"/>
      <w:ind w:left="360" w:firstLine="0"/>
      <w:contextualSpacing/>
    </w:pPr>
    <w:rPr>
      <w:rFonts w:ascii="Times New Roman" w:hAnsi="Times New Roman"/>
      <w:color w:val="000000"/>
      <w:sz w:val="22"/>
    </w:rPr>
  </w:style>
  <w:style w:type="paragraph" w:styleId="List2">
    <w:name w:val="List 2"/>
    <w:basedOn w:val="Normal"/>
    <w:uiPriority w:val="99"/>
    <w:unhideWhenUsed/>
    <w:rsid w:val="00326F90"/>
    <w:pPr>
      <w:widowControl/>
      <w:spacing w:line="276" w:lineRule="auto" w:before="0" w:after="253"/>
      <w:ind w:left="720" w:firstLine="0"/>
      <w:contextualSpacing/>
    </w:pPr>
    <w:rPr>
      <w:rFonts w:ascii="Times New Roman" w:hAnsi="Times New Roman"/>
      <w:color w:val="000000"/>
      <w:sz w:val="22"/>
    </w:rPr>
  </w:style>
  <w:style w:type="paragraph" w:styleId="List3">
    <w:name w:val="List 3"/>
    <w:basedOn w:val="Normal"/>
    <w:uiPriority w:val="99"/>
    <w:unhideWhenUsed/>
    <w:rsid w:val="00326F90"/>
    <w:pPr>
      <w:widowControl/>
      <w:spacing w:line="276" w:lineRule="auto" w:before="0" w:after="253"/>
      <w:ind w:left="1080" w:firstLine="0"/>
      <w:contextualSpacing/>
    </w:pPr>
    <w:rPr>
      <w:rFonts w:ascii="Times New Roman" w:hAnsi="Times New Roman"/>
      <w:color w:val="000000"/>
      <w:sz w:val="22"/>
    </w:rPr>
  </w:style>
  <w:style w:type="paragraph" w:styleId="ListBullet">
    <w:name w:val="List Bullet"/>
    <w:basedOn w:val="Normal"/>
    <w:uiPriority w:val="99"/>
    <w:unhideWhenUsed/>
    <w:rsid w:val="00326F90"/>
    <w:pPr>
      <w:widowControl/>
      <w:numPr>
        <w:numId w:val="1"/>
      </w:numPr>
      <w:spacing w:line="276" w:lineRule="auto" w:before="0" w:after="253"/>
      <w:ind w:firstLine="0"/>
      <w:contextualSpacing/>
    </w:pPr>
    <w:rPr>
      <w:rFonts w:ascii="Times New Roman" w:hAnsi="Times New Roman"/>
      <w:color w:val="000000"/>
      <w:sz w:val="22"/>
    </w:rPr>
  </w:style>
  <w:style w:type="paragraph" w:styleId="ListBullet2">
    <w:name w:val="List Bullet 2"/>
    <w:basedOn w:val="Normal"/>
    <w:uiPriority w:val="99"/>
    <w:unhideWhenUsed/>
    <w:rsid w:val="00326F90"/>
    <w:pPr>
      <w:widowControl/>
      <w:numPr>
        <w:numId w:val="2"/>
      </w:numPr>
      <w:spacing w:line="276" w:lineRule="auto" w:before="0" w:after="253"/>
      <w:ind w:firstLine="0"/>
      <w:contextualSpacing/>
    </w:pPr>
    <w:rPr>
      <w:rFonts w:ascii="Times New Roman" w:hAnsi="Times New Roman"/>
      <w:color w:val="000000"/>
      <w:sz w:val="22"/>
    </w:rPr>
  </w:style>
  <w:style w:type="paragraph" w:styleId="ListBullet3">
    <w:name w:val="List Bullet 3"/>
    <w:basedOn w:val="Normal"/>
    <w:uiPriority w:val="99"/>
    <w:unhideWhenUsed/>
    <w:rsid w:val="00326F90"/>
    <w:pPr>
      <w:widowControl/>
      <w:numPr>
        <w:numId w:val="3"/>
      </w:numPr>
      <w:spacing w:line="276" w:lineRule="auto" w:before="0" w:after="253"/>
      <w:ind w:firstLine="0"/>
      <w:contextualSpacing/>
    </w:pPr>
    <w:rPr>
      <w:rFonts w:ascii="Times New Roman" w:hAnsi="Times New Roman"/>
      <w:color w:val="000000"/>
      <w:sz w:val="22"/>
    </w:rPr>
  </w:style>
  <w:style w:type="paragraph" w:styleId="ListNumber">
    <w:name w:val="List Number"/>
    <w:basedOn w:val="Normal"/>
    <w:uiPriority w:val="99"/>
    <w:unhideWhenUsed/>
    <w:rsid w:val="00326F90"/>
    <w:pPr>
      <w:widowControl/>
      <w:numPr>
        <w:numId w:val="5"/>
      </w:numPr>
      <w:spacing w:line="276" w:lineRule="auto" w:before="0" w:after="253"/>
      <w:ind w:firstLine="0"/>
      <w:contextualSpacing/>
    </w:pPr>
    <w:rPr>
      <w:rFonts w:ascii="Times New Roman" w:hAnsi="Times New Roman"/>
      <w:color w:val="000000"/>
      <w:sz w:val="22"/>
    </w:rPr>
  </w:style>
  <w:style w:type="paragraph" w:styleId="ListNumber2">
    <w:name w:val="List Number 2"/>
    <w:basedOn w:val="Normal"/>
    <w:uiPriority w:val="99"/>
    <w:unhideWhenUsed/>
    <w:rsid w:val="0029639D"/>
    <w:pPr>
      <w:widowControl/>
      <w:numPr>
        <w:numId w:val="6"/>
      </w:numPr>
      <w:spacing w:line="276" w:lineRule="auto" w:before="0" w:after="253"/>
      <w:ind w:firstLine="0"/>
      <w:contextualSpacing/>
    </w:pPr>
    <w:rPr>
      <w:rFonts w:ascii="Times New Roman" w:hAnsi="Times New Roman"/>
      <w:color w:val="000000"/>
      <w:sz w:val="22"/>
    </w:rPr>
  </w:style>
  <w:style w:type="paragraph" w:styleId="ListNumber3">
    <w:name w:val="List Number 3"/>
    <w:basedOn w:val="Normal"/>
    <w:uiPriority w:val="99"/>
    <w:unhideWhenUsed/>
    <w:rsid w:val="0029639D"/>
    <w:pPr>
      <w:widowControl/>
      <w:numPr>
        <w:numId w:val="7"/>
      </w:numPr>
      <w:spacing w:line="276" w:lineRule="auto" w:before="0" w:after="253"/>
      <w:ind w:firstLine="0"/>
      <w:contextualSpacing/>
    </w:pPr>
    <w:rPr>
      <w:rFonts w:ascii="Times New Roman" w:hAnsi="Times New Roman"/>
      <w:color w:val="000000"/>
      <w:sz w:val="22"/>
    </w:rPr>
  </w:style>
  <w:style w:type="paragraph" w:styleId="ListContinue">
    <w:name w:val="List Continue"/>
    <w:basedOn w:val="Normal"/>
    <w:uiPriority w:val="99"/>
    <w:unhideWhenUsed/>
    <w:rsid w:val="0029639D"/>
    <w:pPr>
      <w:widowControl/>
      <w:spacing w:after="253" w:line="276" w:lineRule="auto" w:before="0"/>
      <w:ind w:left="360" w:firstLine="0"/>
      <w:contextualSpacing/>
    </w:pPr>
    <w:rPr>
      <w:rFonts w:ascii="Times New Roman" w:hAnsi="Times New Roman"/>
      <w:color w:val="000000"/>
      <w:sz w:val="22"/>
    </w:rPr>
  </w:style>
  <w:style w:type="paragraph" w:styleId="ListContinue2">
    <w:name w:val="List Continue 2"/>
    <w:basedOn w:val="Normal"/>
    <w:uiPriority w:val="99"/>
    <w:unhideWhenUsed/>
    <w:rsid w:val="0029639D"/>
    <w:pPr>
      <w:widowControl/>
      <w:spacing w:after="253" w:line="276" w:lineRule="auto" w:before="0"/>
      <w:ind w:left="720" w:firstLine="0"/>
      <w:contextualSpacing/>
    </w:pPr>
    <w:rPr>
      <w:rFonts w:ascii="Times New Roman" w:hAnsi="Times New Roman"/>
      <w:color w:val="000000"/>
      <w:sz w:val="22"/>
    </w:rPr>
  </w:style>
  <w:style w:type="paragraph" w:styleId="ListContinue3">
    <w:name w:val="List Continue 3"/>
    <w:basedOn w:val="Normal"/>
    <w:uiPriority w:val="99"/>
    <w:unhideWhenUsed/>
    <w:rsid w:val="0029639D"/>
    <w:pPr>
      <w:widowControl/>
      <w:spacing w:after="253" w:line="276" w:lineRule="auto" w:before="0"/>
      <w:ind w:left="1080" w:firstLine="0"/>
      <w:contextualSpacing/>
    </w:pPr>
    <w:rPr>
      <w:rFonts w:ascii="Times New Roman" w:hAnsi="Times New Roman"/>
      <w:color w:val="000000"/>
      <w:sz w:val="22"/>
    </w:r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spacing w:line="276" w:lineRule="auto" w:before="0" w:after="253"/>
      <w:ind w:firstLine="0"/>
    </w:pPr>
    <w:rPr>
      <w:rFonts w:ascii="Times New Roman" w:hAnsi="Times New Roman"/>
      <w:color w:val="000000"/>
      <w:sz w:val="22"/>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spacing w:line="276" w:lineRule="auto" w:before="0" w:after="253"/>
      <w:ind w:firstLine="0"/>
    </w:pPr>
    <w:rPr>
      <w:rFonts w:ascii="Times New Roman" w:hAnsi="Times New Roman"/>
      <w:i/>
      <w:iCs/>
      <w:color w:val="000000"/>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76" w:lineRule="auto" w:before="0" w:after="253"/>
      <w:ind w:firstLine="0"/>
    </w:pPr>
    <w:rPr>
      <w:rFonts w:ascii="Times New Roman" w:hAnsi="Times New Roman"/>
      <w:b/>
      <w:bCs/>
      <w:color w:val="000000"/>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0" w:after="253" w:line="276" w:lineRule="auto"/>
      <w:ind w:left="936" w:right="936" w:firstLine="0"/>
    </w:pPr>
    <w:rPr>
      <w:rFonts w:ascii="Times New Roman" w:hAnsi="Times New Roman"/>
      <w:b/>
      <w:bCs/>
      <w:i/>
      <w:iCs/>
      <w:color w:val="000000"/>
      <w:sz w:val="2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spacing w:line="276" w:lineRule="auto" w:before="0" w:after="253"/>
      <w:ind w:firstLine="0"/>
      <w:outlineLvl w:val="9"/>
    </w:pPr>
    <w:rPr>
      <w:rFonts w:ascii="Times New Roman" w:hAnsi="Times New Roman"/>
      <w:color w:val="000000"/>
      <w:sz w:val="22"/>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Office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Vertical Software Borrower</dc:title>
  <dc:subject>Vertical Software Borrower</dc:subject>
  <dc:creator>Eshan Mukherjee</dc:creator>
  <cp:keywords/>
  <dc:description/>
  <cp:lastModifiedBy>Eshan Mukherjee</cp:lastModifiedBy>
  <cp:revision>1</cp:revision>
  <dcterms:created xsi:type="dcterms:W3CDTF">2013-12-23T23:15:00Z</dcterms:created>
  <dcterms:modified xsi:type="dcterms:W3CDTF">2013-12-23T23:15:00Z</dcterms:modified>
  <cp:category/>
</cp:coreProperties>
</file>