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E545" w14:textId="77777777" w:rsidR="00695C5C" w:rsidRPr="005474ED" w:rsidRDefault="00144F59">
      <w:pPr>
        <w:pStyle w:val="Title"/>
        <w:keepNext/>
        <w:widowControl/>
        <w:spacing w:line="276" w:lineRule="auto" w:before="0" w:after="253"/>
        <w:ind w:firstLine="0" w:left="0" w:right="0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>Swiss Franc Shock and Exchange Rate Analysis</w:t>
      </w:r>
    </w:p>
    <w:p>
      <w:r>
        <w:rPr>
          <w:rFonts w:ascii="Times New Roman" w:hAnsi="Times New Roman" w:eastAsia="Times New Roman" w:cs="Times New Roman"/>
          <w:color w:val="000000"/>
          <w:sz w:val="22"/>
        </w:rPr>
        <w:t>Author: Eshan Mukherjee</w:t>
      </w:r>
    </w:p>
    <w:p w14:paraId="13F03656" w14:textId="5A697A18" w:rsidR="00695C5C" w:rsidRPr="005474ED" w:rsidRDefault="00144F59" w:rsidP="005474ED">
      <w:pPr>
        <w:pStyle w:val="Heading2"/>
        <w:keepNext/>
        <w:widowControl/>
        <w:tabs>
          <w:tab w:val="left" w:pos="431"/>
        </w:tabs>
        <w:spacing w:line="276" w:lineRule="auto" w:before="253" w:after="120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8"/>
        </w:rPr>
        <w:t>Country, Currency Pair, and Shock</w:t>
      </w:r>
    </w:p>
    <w:p w14:paraId="3A1D54A1" w14:textId="77777777" w:rsidR="0058450F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  <w:spacing w:val="-2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Country: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Switzerland.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</w:p>
    <w:p w14:paraId="695E864C" w14:textId="77777777" w:rsidR="0058450F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  <w:spacing w:val="-2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Currency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pair: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EUR/CHF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(Swiss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francs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per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euro).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</w:p>
    <w:p w14:paraId="01613313" w14:textId="124482E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Shock: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On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15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January 2015,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Swiss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National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Bank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(SNB)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unexpectedly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abandoned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its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minimum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exchange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policy of CHF 1.20 per euro, which had been in place since September 2011. This triggered the largest single-day move in a G10 currency pair in modern history.</w:t>
      </w:r>
    </w:p>
    <w:p w14:paraId="4B0DCB8A" w14:textId="77777777" w:rsidR="0058450F" w:rsidRPr="005474ED" w:rsidRDefault="00144F59">
      <w:pPr>
        <w:pStyle w:val="BodyText"/>
        <w:keepNext w:val="0"/>
        <w:widowControl/>
        <w:spacing w:line="276" w:lineRule="auto" w:before="0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The EUR/CHF rate had been artificially stable at or just above 1.20 for over three years. Within minutes of the announcement, EUR/CHF collapsed from 1.2010 to an intraday low between 0.8500 and 0.9650 depending on venue, a roughly 20-30% intraday decline. </w:t>
      </w:r>
    </w:p>
    <w:p w14:paraId="08F10B5D" w14:textId="56425D9A" w:rsidR="00695C5C" w:rsidRPr="005474ED" w:rsidRDefault="00144F59">
      <w:pPr>
        <w:pStyle w:val="BodyText"/>
        <w:keepNext w:val="0"/>
        <w:widowControl/>
        <w:spacing w:line="276" w:lineRule="auto" w:before="0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By the close on 15 January,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EUR/CHF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settled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near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0.9650,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close-to-close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drop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of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approximately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19.7%.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Swiss Market Index (SMI) fell over 10%, and several retail FX brokers including </w:t>
      </w:r>
      <w:proofErr w:type="spellStart"/>
      <w:r w:rsidRPr="005474ED">
        <w:rPr>
          <w:rFonts w:ascii="Times New Roman" w:hAnsi="Times New Roman" w:eastAsia="Times New Roman" w:cs="Times New Roman"/>
          <w:color w:val="000000"/>
          <w:sz w:val="22"/>
        </w:rPr>
        <w:t>Alpari</w:t>
      </w:r>
      <w:proofErr w:type="spellEnd"/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 UK became insolvent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due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extreme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price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gap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(European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Parliamentary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Research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Service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[EPRS],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2015; FXCM, 2015).</w:t>
      </w:r>
    </w:p>
    <w:p w14:paraId="195C2A3D" w14:textId="77777777" w:rsidR="00695C5C" w:rsidRPr="005474ED" w:rsidRDefault="00144F59" w:rsidP="005474ED">
      <w:pPr>
        <w:pStyle w:val="Heading2"/>
        <w:keepNext/>
        <w:widowControl/>
        <w:tabs>
          <w:tab w:val="left" w:pos="431"/>
        </w:tabs>
        <w:spacing w:line="276" w:lineRule="auto" w:before="253" w:after="120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8"/>
        </w:rPr>
        <w:t xml:space="preserve">Exchange Rate Data and Price 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8"/>
        </w:rPr>
        <w:t>Movements</w:t>
      </w:r>
    </w:p>
    <w:p w14:paraId="7FCD1AF2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jc w:val="both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Figure 1 plots the EUR/CHF spot rate from October 2014 through June 2015. The flat line at 1.20 before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January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15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reflects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floor;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vertical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drop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shock;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partial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recovery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 1.04-1.07 illustrates the market finding a new equilibrium.</w:t>
      </w:r>
    </w:p>
    <w:p w14:paraId="7A8FA19F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left="0" w:firstLine="0" w:right="0"/>
        <w:rPr>
          <w:rFonts w:asciiTheme="majorHAnsi" w:hAnsiTheme="majorHAnsi"/>
          <w:sz w:val="16"/>
        </w:rPr>
      </w:pPr>
      <w:r w:rsidRPr="005474ED">
        <w:rPr>
          <w:rFonts w:ascii="Times New Roman" w:hAnsi="Times New Roman" w:eastAsia="Times New Roman" w:cs="Times New Roman"/>
          <w:noProof/>
          <w:color w:val="000000"/>
          <w:sz w:val="22"/>
        </w:rPr>
        <w:drawing>
          <wp:anchor distT="0" distB="0" distL="0" distR="0" simplePos="0" relativeHeight="251657216" behindDoc="1" locked="0" layoutInCell="1" allowOverlap="1" wp14:anchorId="53D1636F" wp14:editId="22E06B00">
            <wp:simplePos x="0" y="0"/>
            <wp:positionH relativeFrom="page">
              <wp:posOffset>1080739</wp:posOffset>
            </wp:positionH>
            <wp:positionV relativeFrom="paragraph">
              <wp:posOffset>133518</wp:posOffset>
            </wp:positionV>
            <wp:extent cx="5560129" cy="288874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0129" cy="2888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841FA" w14:textId="77777777" w:rsidR="00695C5C" w:rsidRPr="005474ED" w:rsidRDefault="00144F59">
      <w:pPr>
        <w:keepNext w:val="0"/>
        <w:widowControl/>
        <w:spacing w:before="0" w:line="276" w:lineRule="auto" w:after="253"/>
        <w:ind w:left="0" w:right="0" w:firstLine="0"/>
        <w:rPr>
          <w:rFonts w:asciiTheme="majorHAnsi" w:hAnsiTheme="majorHAnsi"/>
          <w:i/>
          <w:sz w:val="17"/>
        </w:rPr>
      </w:pP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Figure 1: EUR/CHF spot rate, Oct 2014 - Jun 2015. Red dashed line marks the floor removal. </w:t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</w:p>
    <w:p w14:paraId="751B9F9E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Figure 2 overlays daily percentage changes (bars) with cumulative change from a 12 January baseline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(line).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-19.7%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bar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January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15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dwarfs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every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other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move.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end-March,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EUR/CHF remained approximately 13% below pre-shock levels, indicating the repricing was mostly</w:t>
      </w:r>
    </w:p>
    <w:p w14:paraId="602C41CB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lastRenderedPageBreak/>
        <w:t>permanent.</w:t>
      </w:r>
    </w:p>
    <w:p w14:paraId="1CE4EFB3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left="0" w:firstLine="0" w:right="0"/>
        <w:rPr>
          <w:rFonts w:asciiTheme="majorHAnsi" w:hAnsiTheme="majorHAnsi"/>
          <w:sz w:val="19"/>
        </w:rPr>
      </w:pPr>
      <w:r w:rsidRPr="005474ED">
        <w:rPr>
          <w:rFonts w:ascii="Times New Roman" w:hAnsi="Times New Roman" w:eastAsia="Times New Roman" w:cs="Times New Roman"/>
          <w:noProof/>
          <w:color w:val="000000"/>
          <w:sz w:val="22"/>
        </w:rPr>
        <w:drawing>
          <wp:anchor distT="0" distB="0" distL="0" distR="0" simplePos="0" relativeHeight="251658240" behindDoc="1" locked="0" layoutInCell="1" allowOverlap="1" wp14:anchorId="16759207" wp14:editId="376FE4C5">
            <wp:simplePos x="0" y="0"/>
            <wp:positionH relativeFrom="page">
              <wp:posOffset>1067538</wp:posOffset>
            </wp:positionH>
            <wp:positionV relativeFrom="paragraph">
              <wp:posOffset>159175</wp:posOffset>
            </wp:positionV>
            <wp:extent cx="5622785" cy="257365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785" cy="2573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C6F89" w14:textId="77777777" w:rsidR="00695C5C" w:rsidRPr="005474ED" w:rsidRDefault="00144F59">
      <w:pPr>
        <w:keepNext w:val="0"/>
        <w:widowControl/>
        <w:spacing w:before="0" w:line="276" w:lineRule="auto" w:after="253"/>
        <w:ind w:left="0" w:right="0" w:firstLine="0"/>
        <w:jc w:val="center"/>
        <w:rPr>
          <w:rFonts w:asciiTheme="majorHAnsi" w:hAnsiTheme="majorHAnsi"/>
          <w:i/>
          <w:sz w:val="17"/>
        </w:rPr>
      </w:pP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Figure 2: Daily % change (bars) and cumulative % change from baseline (line). Formula: Daily % = (Spot_t / Spot_t-1 - 1) x 100. </w:t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proofErr w:type="spellStart"/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proofErr w:type="spellEnd"/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r w:rsidRPr="005474ED">
        <w:rPr>
          <w:rFonts w:ascii="Times New Roman" w:hAnsi="Times New Roman" w:eastAsia="Times New Roman" w:cs="Times New Roman"/>
          <w:i/>
          <w:color w:val="000000"/>
          <w:spacing w:val="-2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</w:p>
    <w:p w14:paraId="4277AC04" w14:textId="77777777" w:rsidR="00695C5C" w:rsidRPr="005474ED" w:rsidRDefault="00144F59">
      <w:pPr>
        <w:keepNext w:val="0"/>
        <w:widowControl/>
        <w:spacing w:line="276" w:lineRule="auto" w:before="0" w:after="253"/>
        <w:ind w:left="0" w:firstLine="0" w:right="0"/>
        <w:rPr>
          <w:rFonts w:asciiTheme="majorHAnsi" w:hAnsiTheme="majorHAnsi"/>
          <w:sz w:val="21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Table 1: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Selected EUR/CHF 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>Observations</w:t>
      </w:r>
    </w:p>
    <w:tbl>
      <w:tblPr>
        <w:tblW w:w="9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2714"/>
        <w:gridCol w:w="2165"/>
        <w:gridCol w:w="2165"/>
        <w:gridCol w:w="2315"/>
      </w:tblGrid>
      <w:tr w:rsidR="00695C5C" w:rsidRPr="005474ED" w14:paraId="469CCF44" w14:textId="77777777">
        <w:trPr>
          <w:tblHeader/>
        </w:trPr>
        <w:tc>
          <w:tcPr>
            <w:tcW w:w="2714" w:type="dxa"/>
          </w:tcPr>
          <w:p w14:paraId="49839E80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b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pacing w:val="-4"/>
                <w:sz w:val="20"/>
              </w:rPr>
              <w:t>Date</w:t>
            </w:r>
          </w:p>
        </w:tc>
        <w:tc>
          <w:tcPr>
            <w:tcW w:w="2165" w:type="dxa"/>
          </w:tcPr>
          <w:p w14:paraId="596463EC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b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pacing w:val="-2"/>
                <w:sz w:val="20"/>
              </w:rPr>
              <w:t>EUR/CHF</w:t>
            </w:r>
          </w:p>
        </w:tc>
        <w:tc>
          <w:tcPr>
            <w:tcW w:w="2165" w:type="dxa"/>
          </w:tcPr>
          <w:p w14:paraId="7B5A4340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b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Daily </w:t>
            </w:r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pacing w:val="-10"/>
                <w:sz w:val="20"/>
              </w:rPr>
              <w:t>%</w:t>
            </w:r>
          </w:p>
        </w:tc>
        <w:tc>
          <w:tcPr>
            <w:tcW w:w="2315" w:type="dxa"/>
          </w:tcPr>
          <w:p w14:paraId="50D2EB61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right="1" w:firstLine="0"/>
              <w:rPr>
                <w:rFonts w:asciiTheme="majorHAnsi" w:hAnsiTheme="majorHAnsi"/>
                <w:b/>
                <w:sz w:val="17"/>
              </w:rPr>
            </w:pPr>
            <w:proofErr w:type="spellStart"/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Cumul</w:t>
            </w:r>
            <w:proofErr w:type="spellEnd"/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. </w:t>
            </w:r>
            <w:r w:rsidRPr="005474ED">
              <w:rPr>
                <w:rFonts w:ascii="Times New Roman" w:hAnsi="Times New Roman" w:eastAsia="Times New Roman" w:cs="Times New Roman"/>
                <w:b/>
                <w:color w:val="000000"/>
                <w:spacing w:val="-10"/>
                <w:sz w:val="20"/>
              </w:rPr>
              <w:t>%</w:t>
            </w:r>
          </w:p>
        </w:tc>
      </w:tr>
      <w:tr w:rsidR="00695C5C" w:rsidRPr="005474ED" w14:paraId="1EE8510E" w14:textId="77777777">
        <w:trPr/>
        <w:tc>
          <w:tcPr>
            <w:tcW w:w="2714" w:type="dxa"/>
          </w:tcPr>
          <w:p w14:paraId="08C8342E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12-Jan-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03867F56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1.2010</w:t>
            </w:r>
          </w:p>
        </w:tc>
        <w:tc>
          <w:tcPr>
            <w:tcW w:w="2165" w:type="dxa"/>
          </w:tcPr>
          <w:p w14:paraId="59CFC9AD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0.00%</w:t>
            </w:r>
          </w:p>
        </w:tc>
        <w:tc>
          <w:tcPr>
            <w:tcW w:w="2315" w:type="dxa"/>
          </w:tcPr>
          <w:p w14:paraId="1378DDF9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0.00%</w:t>
            </w:r>
          </w:p>
        </w:tc>
      </w:tr>
      <w:tr w:rsidR="00695C5C" w:rsidRPr="005474ED" w14:paraId="1A551220" w14:textId="77777777">
        <w:trPr/>
        <w:tc>
          <w:tcPr>
            <w:tcW w:w="2714" w:type="dxa"/>
          </w:tcPr>
          <w:p w14:paraId="517A5762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14-Jan-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5D772783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1.2009</w:t>
            </w:r>
          </w:p>
        </w:tc>
        <w:tc>
          <w:tcPr>
            <w:tcW w:w="2165" w:type="dxa"/>
          </w:tcPr>
          <w:p w14:paraId="3F33AF6C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0.02%</w:t>
            </w:r>
          </w:p>
        </w:tc>
        <w:tc>
          <w:tcPr>
            <w:tcW w:w="2315" w:type="dxa"/>
          </w:tcPr>
          <w:p w14:paraId="3CDD8C1D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0.01%</w:t>
            </w:r>
          </w:p>
        </w:tc>
      </w:tr>
      <w:tr w:rsidR="00695C5C" w:rsidRPr="005474ED" w14:paraId="7DE794F1" w14:textId="77777777">
        <w:trPr/>
        <w:tc>
          <w:tcPr>
            <w:tcW w:w="2714" w:type="dxa"/>
          </w:tcPr>
          <w:p w14:paraId="4CA50415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15-Jan-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719A64C7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0.9650*</w:t>
            </w:r>
          </w:p>
        </w:tc>
        <w:tc>
          <w:tcPr>
            <w:tcW w:w="2165" w:type="dxa"/>
          </w:tcPr>
          <w:p w14:paraId="4B192D9D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19.65%</w:t>
            </w:r>
          </w:p>
        </w:tc>
        <w:tc>
          <w:tcPr>
            <w:tcW w:w="2315" w:type="dxa"/>
          </w:tcPr>
          <w:p w14:paraId="1FF7BBAD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19.64%</w:t>
            </w:r>
          </w:p>
        </w:tc>
      </w:tr>
      <w:tr w:rsidR="00695C5C" w:rsidRPr="005474ED" w14:paraId="30A89A09" w14:textId="77777777">
        <w:trPr/>
        <w:tc>
          <w:tcPr>
            <w:tcW w:w="2714" w:type="dxa"/>
          </w:tcPr>
          <w:p w14:paraId="3849CB20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16-Jan-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020261EC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1.0125</w:t>
            </w:r>
          </w:p>
        </w:tc>
        <w:tc>
          <w:tcPr>
            <w:tcW w:w="2165" w:type="dxa"/>
          </w:tcPr>
          <w:p w14:paraId="30733F4D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+4.92%</w:t>
            </w:r>
          </w:p>
        </w:tc>
        <w:tc>
          <w:tcPr>
            <w:tcW w:w="2315" w:type="dxa"/>
          </w:tcPr>
          <w:p w14:paraId="50503907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15.69%</w:t>
            </w:r>
          </w:p>
        </w:tc>
      </w:tr>
      <w:tr w:rsidR="00695C5C" w:rsidRPr="005474ED" w14:paraId="22FB127E" w14:textId="77777777">
        <w:trPr/>
        <w:tc>
          <w:tcPr>
            <w:tcW w:w="2714" w:type="dxa"/>
          </w:tcPr>
          <w:p w14:paraId="4F2A129A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30-Jan-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1C1874CA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1.0485</w:t>
            </w:r>
          </w:p>
        </w:tc>
        <w:tc>
          <w:tcPr>
            <w:tcW w:w="2165" w:type="dxa"/>
          </w:tcPr>
          <w:p w14:paraId="714530DD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+3.50%</w:t>
            </w:r>
          </w:p>
        </w:tc>
        <w:tc>
          <w:tcPr>
            <w:tcW w:w="2315" w:type="dxa"/>
          </w:tcPr>
          <w:p w14:paraId="06707311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12.70%</w:t>
            </w:r>
          </w:p>
        </w:tc>
      </w:tr>
      <w:tr w:rsidR="00695C5C" w:rsidRPr="005474ED" w14:paraId="34430CE7" w14:textId="77777777">
        <w:trPr/>
        <w:tc>
          <w:tcPr>
            <w:tcW w:w="2714" w:type="dxa"/>
          </w:tcPr>
          <w:p w14:paraId="150131E9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27-Feb-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69E46BB8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1.0690</w:t>
            </w:r>
          </w:p>
        </w:tc>
        <w:tc>
          <w:tcPr>
            <w:tcW w:w="2165" w:type="dxa"/>
          </w:tcPr>
          <w:p w14:paraId="7B0554E5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+0.19%</w:t>
            </w:r>
          </w:p>
        </w:tc>
        <w:tc>
          <w:tcPr>
            <w:tcW w:w="2315" w:type="dxa"/>
          </w:tcPr>
          <w:p w14:paraId="1696DA58" w14:textId="77777777" w:rsidR="00695C5C" w:rsidRPr="005474ED" w:rsidRDefault="00144F59">
            <w:pPr>
              <w:pStyle w:val="TableParagraph"/>
              <w:keepNext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10.99%</w:t>
            </w:r>
          </w:p>
        </w:tc>
      </w:tr>
      <w:tr w:rsidR="00695C5C" w:rsidRPr="005474ED" w14:paraId="4B28BC36" w14:textId="77777777">
        <w:trPr/>
        <w:tc>
          <w:tcPr>
            <w:tcW w:w="2714" w:type="dxa"/>
          </w:tcPr>
          <w:p w14:paraId="0B52D6D5" w14:textId="77777777" w:rsidR="00695C5C" w:rsidRPr="005474ED" w:rsidRDefault="00144F59">
            <w:pPr>
              <w:pStyle w:val="TableParagraph"/>
              <w:keepNext w:val="0"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31-Mar-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4"/>
                <w:sz w:val="20"/>
              </w:rPr>
              <w:t>2015</w:t>
            </w:r>
          </w:p>
        </w:tc>
        <w:tc>
          <w:tcPr>
            <w:tcW w:w="2165" w:type="dxa"/>
          </w:tcPr>
          <w:p w14:paraId="040865DA" w14:textId="77777777" w:rsidR="00695C5C" w:rsidRPr="005474ED" w:rsidRDefault="00144F59">
            <w:pPr>
              <w:pStyle w:val="TableParagraph"/>
              <w:keepNext w:val="0"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1.0441</w:t>
            </w:r>
          </w:p>
        </w:tc>
        <w:tc>
          <w:tcPr>
            <w:tcW w:w="2165" w:type="dxa"/>
          </w:tcPr>
          <w:p w14:paraId="5137FFB6" w14:textId="77777777" w:rsidR="00695C5C" w:rsidRPr="005474ED" w:rsidRDefault="00144F59">
            <w:pPr>
              <w:pStyle w:val="TableParagraph"/>
              <w:keepNext w:val="0"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0.14%</w:t>
            </w:r>
          </w:p>
        </w:tc>
        <w:tc>
          <w:tcPr>
            <w:tcW w:w="2315" w:type="dxa"/>
          </w:tcPr>
          <w:p w14:paraId="6C59C6B3" w14:textId="77777777" w:rsidR="00695C5C" w:rsidRPr="005474ED" w:rsidRDefault="00144F59">
            <w:pPr>
              <w:pStyle w:val="TableParagraph"/>
              <w:keepNext w:val="0"/>
              <w:spacing w:line="240" w:lineRule="auto" w:before="60" w:after="60"/>
              <w:ind w:firstLine="0"/>
              <w:rPr>
                <w:rFonts w:asciiTheme="majorHAnsi" w:hAnsiTheme="majorHAnsi"/>
                <w:sz w:val="17"/>
              </w:rPr>
            </w:pP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-</w:t>
            </w:r>
            <w:r w:rsidRPr="005474ED">
              <w:rPr>
                <w:rFonts w:ascii="Times New Roman" w:hAnsi="Times New Roman" w:eastAsia="Times New Roman" w:cs="Times New Roman"/>
                <w:b w:val="0"/>
                <w:color w:val="000000"/>
                <w:spacing w:val="-2"/>
                <w:sz w:val="20"/>
              </w:rPr>
              <w:t>13.06%</w:t>
            </w:r>
          </w:p>
        </w:tc>
      </w:tr>
    </w:tbl>
    <w:p>
      <w:pPr>
        <w:spacing w:before="0" w:after="0" w:line="253" w:lineRule="exact"/>
      </w:pPr>
    </w:p>
    <w:p w14:paraId="74C92EC4" w14:textId="77777777" w:rsidR="00695C5C" w:rsidRPr="005474ED" w:rsidRDefault="00144F59">
      <w:pPr>
        <w:keepNext w:val="0"/>
        <w:widowControl/>
        <w:spacing w:before="0" w:line="276" w:lineRule="auto" w:after="253"/>
        <w:ind w:right="0" w:firstLine="0" w:left="0"/>
        <w:jc w:val="center"/>
        <w:rPr>
          <w:rFonts w:asciiTheme="majorHAnsi" w:hAnsiTheme="majorHAnsi"/>
          <w:i/>
          <w:sz w:val="17"/>
        </w:rPr>
      </w:pP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 xml:space="preserve">* Intraday prints as low as 0.8500 on some venues; close shown. Cumul. % from 12-Jan baseline (1.2010). </w:t>
      </w:r>
      <w:proofErr w:type="spellStart"/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/>
      </w:r>
      <w:proofErr w:type="spellEnd"/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 xml:space="preserve"/>
      </w:r>
      <w:r w:rsidRPr="005474ED">
        <w:rPr>
          <w:rFonts w:ascii="Times New Roman" w:hAnsi="Times New Roman" w:eastAsia="Times New Roman" w:cs="Times New Roman"/>
          <w:i/>
          <w:color w:val="000000"/>
          <w:spacing w:val="-4"/>
          <w:sz w:val="22"/>
        </w:rPr>
        <w:t/>
      </w:r>
    </w:p>
    <w:p w14:paraId="4F971C51" w14:textId="77777777" w:rsidR="00695C5C" w:rsidRPr="005474ED" w:rsidRDefault="00144F59" w:rsidP="005474ED">
      <w:pPr>
        <w:pStyle w:val="Heading2"/>
        <w:keepNext/>
        <w:widowControl/>
        <w:tabs>
          <w:tab w:val="left" w:pos="431"/>
        </w:tabs>
        <w:spacing w:line="276" w:lineRule="auto" w:before="253" w:after="120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8"/>
        </w:rPr>
        <w:t xml:space="preserve">Underlying Levers and 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8"/>
        </w:rPr>
        <w:t>Forces</w:t>
      </w:r>
    </w:p>
    <w:p w14:paraId="73262EE2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Imminent ECB quantitative easing.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 primary catalyst was the expectation that the ECB would soon launch large-scale bond purchases (announced 22 January). This would have weakened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euro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dramatically,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forcing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buy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ever-larger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quantities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of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euros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defend the floor. SNB Board member Fritz Zurbrugg later stated that maintaining the floor would have required intervention of approximately CHF 100 billion in January alone (Bank for International Settlements [BIS], 2017).</w:t>
      </w:r>
    </w:p>
    <w:p w14:paraId="1AE17DAE" w14:textId="77777777" w:rsidR="00695C5C" w:rsidRPr="005474ED" w:rsidRDefault="00144F59">
      <w:pPr>
        <w:pStyle w:val="BodyText"/>
        <w:keepNext w:val="0"/>
        <w:widowControl/>
        <w:spacing w:line="276" w:lineRule="auto" w:before="0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Safe-haven demand.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 Swiss franc is a primary safe-haven currency. In January 2015, risk events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converged: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Greek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elections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January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25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raised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Grexit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fears,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Russian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proofErr w:type="spellStart"/>
      <w:r w:rsidRPr="005474ED">
        <w:rPr>
          <w:rFonts w:ascii="Times New Roman" w:hAnsi="Times New Roman" w:eastAsia="Times New Roman" w:cs="Times New Roman"/>
          <w:color w:val="000000"/>
          <w:sz w:val="22"/>
        </w:rPr>
        <w:t>rouble</w:t>
      </w:r>
      <w:proofErr w:type="spellEnd"/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instability persisted, and oil prices were falling. Each risk-off impulse increased global demand for CHF (EPRS, 2015).</w:t>
      </w:r>
    </w:p>
    <w:p w14:paraId="579F2D23" w14:textId="77777777" w:rsidR="00695C5C" w:rsidRPr="005474ED" w:rsidRDefault="00144F59">
      <w:pPr>
        <w:keepNext w:val="0"/>
        <w:widowControl/>
        <w:spacing w:before="0" w:line="276" w:lineRule="auto" w:after="253"/>
        <w:ind w:left="0" w:right="0" w:firstLine="0"/>
        <w:rPr>
          <w:rFonts w:asciiTheme="majorHAnsi" w:hAnsiTheme="majorHAnsi"/>
          <w:sz w:val="21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Carry-trade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unwind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liquidity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vacuum.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floor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had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encouraged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proofErr w:type="gramStart"/>
      <w:r w:rsidRPr="005474ED">
        <w:rPr>
          <w:rFonts w:ascii="Times New Roman" w:hAnsi="Times New Roman" w:eastAsia="Times New Roman" w:cs="Times New Roman"/>
          <w:color w:val="000000"/>
          <w:sz w:val="22"/>
        </w:rPr>
        <w:t>massive</w:t>
      </w:r>
      <w:proofErr w:type="gramEnd"/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leveraged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long EUR/CHF positions. When removed, forced liquidation created self-reinforcing cascades:</w:t>
      </w:r>
    </w:p>
    <w:p w14:paraId="10938902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stop-losses triggered selling, which triggered more stops. FXCM reported bid-ask spreads exceeding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2,000-3,000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proofErr w:type="gramStart"/>
      <w:r w:rsidRPr="005474ED">
        <w:rPr>
          <w:rFonts w:ascii="Times New Roman" w:hAnsi="Times New Roman" w:eastAsia="Times New Roman" w:cs="Times New Roman"/>
          <w:color w:val="000000"/>
          <w:sz w:val="22"/>
        </w:rPr>
        <w:t>pips</w:t>
      </w:r>
      <w:proofErr w:type="gramEnd"/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liquidity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providers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withdrawing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for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~40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minutes,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transforming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</w:t>
      </w:r>
    </w:p>
    <w:p w14:paraId="07780326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lastRenderedPageBreak/>
        <w:t xml:space="preserve">fundamental repricing into a 30%+ intraday overshoot (FXCM, 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>2015).</w:t>
      </w:r>
    </w:p>
    <w:p w14:paraId="221D72D7" w14:textId="77777777" w:rsidR="00695C5C" w:rsidRPr="005474ED" w:rsidRDefault="00144F59">
      <w:pPr>
        <w:keepNext w:val="0"/>
        <w:widowControl/>
        <w:spacing w:before="0" w:line="276" w:lineRule="auto" w:after="253"/>
        <w:ind w:left="0" w:firstLine="0" w:right="0"/>
        <w:rPr>
          <w:rFonts w:asciiTheme="majorHAnsi" w:hAnsiTheme="majorHAnsi"/>
          <w:sz w:val="21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Interest rate differentials.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The ECB deposit rate was -0.20% while the SNB range was 0% 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>to</w:t>
      </w:r>
    </w:p>
    <w:p w14:paraId="5ECB781F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-0.25%, making CHF carry costs nearly zero and encouraging speculative inflows. ECB QE expectations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were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pushing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euro-area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real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rates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even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lower,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widening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real-rate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gap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favoring CHF (Swiss National Bank [SNB], 2015a).</w:t>
      </w:r>
    </w:p>
    <w:p w14:paraId="39A16F75" w14:textId="77777777" w:rsidR="00695C5C" w:rsidRPr="005474ED" w:rsidRDefault="00144F59" w:rsidP="005474ED">
      <w:pPr>
        <w:pStyle w:val="Heading2"/>
        <w:keepNext/>
        <w:widowControl/>
        <w:tabs>
          <w:tab w:val="left" w:pos="431"/>
        </w:tabs>
        <w:spacing w:line="276" w:lineRule="auto" w:before="253" w:after="120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8"/>
        </w:rPr>
        <w:t xml:space="preserve">Role of the Swiss National 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8"/>
        </w:rPr>
        <w:t>Bank</w:t>
      </w:r>
    </w:p>
    <w:p w14:paraId="013DBCFD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left="0" w:firstLine="0" w:right="0"/>
        <w:rPr>
          <w:rFonts w:asciiTheme="majorHAnsi" w:hAnsiTheme="majorHAnsi"/>
          <w:b/>
          <w:sz w:val="17"/>
        </w:rPr>
      </w:pPr>
      <w:r w:rsidRPr="005474ED">
        <w:rPr>
          <w:rFonts w:ascii="Times New Roman" w:hAnsi="Times New Roman" w:eastAsia="Times New Roman" w:cs="Times New Roman"/>
          <w:b/>
          <w:noProof/>
          <w:color w:val="000000"/>
          <w:sz w:val="22"/>
        </w:rPr>
        <w:drawing>
          <wp:anchor distT="0" distB="0" distL="0" distR="0" simplePos="0" relativeHeight="251659264" behindDoc="1" locked="0" layoutInCell="1" allowOverlap="1" wp14:anchorId="5AA82551" wp14:editId="7FAC86C3">
            <wp:simplePos x="0" y="0"/>
            <wp:positionH relativeFrom="page">
              <wp:posOffset>1070786</wp:posOffset>
            </wp:positionH>
            <wp:positionV relativeFrom="paragraph">
              <wp:posOffset>143757</wp:posOffset>
            </wp:positionV>
            <wp:extent cx="5619542" cy="257365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542" cy="2573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87F573" w14:textId="77777777" w:rsidR="00695C5C" w:rsidRPr="005474ED" w:rsidRDefault="00144F59">
      <w:pPr>
        <w:keepNext w:val="0"/>
        <w:widowControl/>
        <w:spacing w:before="0" w:line="276" w:lineRule="auto" w:after="253"/>
        <w:ind w:firstLine="0" w:left="0" w:right="0"/>
        <w:jc w:val="center"/>
        <w:rPr>
          <w:rFonts w:asciiTheme="majorHAnsi" w:hAnsiTheme="majorHAnsi"/>
          <w:i/>
          <w:sz w:val="17"/>
        </w:rPr>
      </w:pP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 xml:space="preserve">Figure 3: SNB FX reserves (bars) grew from CHF 254 bn to CHF 495 bn defending the floor. Policy rate (red line) cut </w:t>
      </w:r>
      <w:r w:rsidRPr="005474ED">
        <w:rPr>
          <w:rFonts w:ascii="Times New Roman" w:hAnsi="Times New Roman" w:eastAsia="Times New Roman" w:cs="Times New Roman"/>
          <w:i/>
          <w:color w:val="000000"/>
          <w:spacing w:val="-5"/>
          <w:sz w:val="22"/>
        </w:rPr>
        <w:t>to</w:t>
      </w:r>
    </w:p>
    <w:p w14:paraId="52E017D1" w14:textId="77777777" w:rsidR="00695C5C" w:rsidRPr="005474ED" w:rsidRDefault="00144F59">
      <w:pPr>
        <w:keepNext w:val="0"/>
        <w:widowControl/>
        <w:spacing w:before="0" w:line="276" w:lineRule="auto" w:after="253"/>
        <w:ind w:firstLine="0" w:left="0" w:right="0"/>
        <w:jc w:val="center"/>
        <w:rPr>
          <w:rFonts w:asciiTheme="majorHAnsi" w:hAnsiTheme="majorHAnsi"/>
          <w:i/>
          <w:sz w:val="17"/>
        </w:rPr>
      </w:pP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 xml:space="preserve">-0.75% on the day of removal. </w:t>
      </w:r>
      <w:r w:rsidRPr="005474ED">
        <w:rPr>
          <w:rFonts w:ascii="Times New Roman" w:hAnsi="Times New Roman" w:eastAsia="Times New Roman" w:cs="Times New Roman"/>
          <w:i/>
          <w:color w:val="000000"/>
          <w:spacing w:val="-4"/>
          <w:sz w:val="22"/>
        </w:rPr>
        <w:t/>
      </w:r>
    </w:p>
    <w:p w14:paraId="34795F65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Before:</w:t>
      </w:r>
      <w:r w:rsidRPr="005474ED">
        <w:rPr>
          <w:rFonts w:ascii="Times New Roman" w:hAnsi="Times New Roman" w:eastAsia="Times New Roman" w:cs="Times New Roman"/>
          <w:b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introduced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1.20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floor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on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6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September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2011,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pledging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buy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foreign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currency in unlimited quantities. Over three years, FX reserves expanded from CHF 254 billion to CHF 495 billion (~80% of GDP). On 18 December 2014, the SNB introduced a -0.25% rate on sight deposits. Vice-Chairman </w:t>
      </w:r>
      <w:proofErr w:type="spellStart"/>
      <w:r w:rsidRPr="005474ED">
        <w:rPr>
          <w:rFonts w:ascii="Times New Roman" w:hAnsi="Times New Roman" w:eastAsia="Times New Roman" w:cs="Times New Roman"/>
          <w:color w:val="000000"/>
          <w:sz w:val="22"/>
        </w:rPr>
        <w:t>Danthine</w:t>
      </w:r>
      <w:proofErr w:type="spellEnd"/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 stated on 12 January 2015 that the floor remained the cornerstone of policy, just three days before removal (BIS, 2017).</w:t>
      </w:r>
    </w:p>
    <w:p w14:paraId="2F4D695A" w14:textId="77777777" w:rsidR="00695C5C" w:rsidRPr="005474ED" w:rsidRDefault="00144F59">
      <w:pPr>
        <w:pStyle w:val="BodyText"/>
        <w:keepNext w:val="0"/>
        <w:widowControl/>
        <w:spacing w:line="276" w:lineRule="auto" w:before="0" w:after="253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During: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On 15 January, the SNB simultaneously removed the floor and cut rates by 50 bps 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>to</w:t>
      </w:r>
    </w:p>
    <w:p w14:paraId="47CF7C5C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-0.75%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(Libor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target: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-1.25%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-0.25%).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Chairman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Jordan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stated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decision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reflected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floor's unsustainability, not panic (SNB, 2015b).</w:t>
      </w:r>
    </w:p>
    <w:p w14:paraId="7DE2A704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After: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adopted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dual-pillar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approach: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negative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rates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plus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discretionary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FX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intervention. The negative rate restored the traditional interest rate differential with the eurozone, making CHF deposits costlier. Reserves continued rising after January, indicating ongoing intervention (SNB, </w:t>
      </w:r>
      <w:r w:rsidRPr="005474ED">
        <w:rPr>
          <w:rFonts w:ascii="Times New Roman" w:hAnsi="Times New Roman" w:eastAsia="Times New Roman" w:cs="Times New Roman"/>
          <w:color w:val="000000"/>
          <w:spacing w:val="-2"/>
          <w:sz w:val="22"/>
        </w:rPr>
        <w:t>2015c).</w:t>
      </w:r>
    </w:p>
    <w:p w14:paraId="7B2E3D3C" w14:textId="77777777" w:rsidR="00695C5C" w:rsidRPr="005474ED" w:rsidRDefault="00144F59">
      <w:pPr>
        <w:pStyle w:val="BodyText"/>
        <w:keepNext w:val="0"/>
        <w:widowControl/>
        <w:spacing w:line="276" w:lineRule="auto" w:before="0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Assessment: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 SNB directly caused the shock. It also amplified it indirectly because three years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of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artificial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stability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encouraged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massive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leveraged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positioning.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sudden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removal,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rather than gradual widening, maximized disruption. However, the objective was rational: preserving balance-sheet sustainability as reserve accumulation approached unsustainable levels.</w:t>
      </w:r>
    </w:p>
    <w:p w14:paraId="11F589AF" w14:textId="77777777" w:rsidR="00695C5C" w:rsidRPr="005474ED" w:rsidRDefault="00144F59" w:rsidP="005474ED">
      <w:pPr>
        <w:pStyle w:val="Heading2"/>
        <w:keepNext/>
        <w:widowControl/>
        <w:tabs>
          <w:tab w:val="left" w:pos="431"/>
        </w:tabs>
        <w:spacing w:before="253" w:line="276" w:lineRule="auto" w:after="120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8"/>
        </w:rPr>
        <w:t xml:space="preserve">Supply and Demand 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8"/>
        </w:rPr>
        <w:t>Analysis</w:t>
      </w:r>
    </w:p>
    <w:p w14:paraId="55CD1437" w14:textId="77777777" w:rsidR="00695C5C" w:rsidRPr="005474ED" w:rsidRDefault="00144F59">
      <w:pPr>
        <w:keepNext w:val="0"/>
        <w:widowControl/>
        <w:spacing w:line="276" w:lineRule="auto" w:before="0" w:after="253"/>
        <w:ind w:left="0" w:firstLine="0" w:right="0"/>
        <w:rPr>
          <w:rFonts w:asciiTheme="majorHAnsi" w:hAnsiTheme="majorHAnsi"/>
          <w:sz w:val="20"/>
        </w:rPr>
      </w:pPr>
      <w:r w:rsidRPr="005474ED">
        <w:rPr>
          <w:rFonts w:ascii="Times New Roman" w:hAnsi="Times New Roman" w:eastAsia="Times New Roman" w:cs="Times New Roman"/>
          <w:noProof/>
          <w:color w:val="000000"/>
          <w:sz w:val="22"/>
        </w:rPr>
        <w:lastRenderedPageBreak/>
        <w:drawing>
          <wp:inline distT="0" distB="0" distL="0" distR="0" wp14:anchorId="18BAEE17" wp14:editId="564C9696">
            <wp:extent cx="4446750" cy="310705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750" cy="310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D5500" w14:textId="77777777" w:rsidR="00695C5C" w:rsidRPr="005474ED" w:rsidRDefault="00144F59">
      <w:pPr>
        <w:keepNext w:val="0"/>
        <w:widowControl/>
        <w:spacing w:before="0" w:line="276" w:lineRule="auto" w:after="253"/>
        <w:ind w:left="0" w:firstLine="0" w:right="0"/>
        <w:rPr>
          <w:rFonts w:asciiTheme="majorHAnsi" w:hAnsiTheme="majorHAnsi"/>
          <w:i/>
          <w:sz w:val="17"/>
        </w:rPr>
      </w:pP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Figure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4: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Conceptual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proofErr w:type="gramStart"/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supply-demand</w:t>
      </w:r>
      <w:proofErr w:type="gramEnd"/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for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CHF.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Floor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removal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shifted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supply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left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(S0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S1);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safe-haven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i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>carry-unwind</w:t>
      </w:r>
      <w:r w:rsidRPr="005474ED">
        <w:rPr>
          <w:rFonts w:ascii="Times New Roman" w:hAnsi="Times New Roman" w:eastAsia="Times New Roman" w:cs="Times New Roman"/>
          <w:i/>
          <w:color w:val="000000"/>
          <w:sz w:val="22"/>
        </w:rPr>
        <w:t xml:space="preserve"> flows shifted demand right (D0 to D1). New equilibrium E1 reflects sharply higher CHF price.</w:t>
      </w:r>
    </w:p>
    <w:p w14:paraId="39420AB5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Demand for CHF shifted right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for three reasons: (1) safe-haven flows driven by Greek election uncertainty,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Russian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instability,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falling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oil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prices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increased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demand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for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Swiss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franc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assets;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(2) forced unwinding of leveraged short-CHF carry trades required large CHF purchases; and (3) Swiss institutional repatriation of foreign-currency assets. The carry unwind was temporary (exhausting itself within days), while safe-haven demand was more persistent.</w:t>
      </w:r>
    </w:p>
    <w:p w14:paraId="35A19440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Supply</w:t>
      </w:r>
      <w:r w:rsidRPr="005474ED">
        <w:rPr>
          <w:rFonts w:ascii="Times New Roman" w:hAnsi="Times New Roman" w:eastAsia="Times New Roman" w:cs="Times New Roman"/>
          <w:b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of</w:t>
      </w:r>
      <w:r w:rsidRPr="005474ED">
        <w:rPr>
          <w:rFonts w:ascii="Times New Roman" w:hAnsi="Times New Roman" w:eastAsia="Times New Roman" w:cs="Times New Roman"/>
          <w:b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CHF</w:t>
      </w:r>
      <w:r w:rsidRPr="005474ED">
        <w:rPr>
          <w:rFonts w:ascii="Times New Roman" w:hAnsi="Times New Roman" w:eastAsia="Times New Roman" w:cs="Times New Roman"/>
          <w:b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shifted</w:t>
      </w:r>
      <w:r w:rsidRPr="005474ED">
        <w:rPr>
          <w:rFonts w:ascii="Times New Roman" w:hAnsi="Times New Roman" w:eastAsia="Times New Roman" w:cs="Times New Roman"/>
          <w:b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left</w:t>
      </w:r>
      <w:r w:rsidRPr="005474ED">
        <w:rPr>
          <w:rFonts w:ascii="Times New Roman" w:hAnsi="Times New Roman" w:eastAsia="Times New Roman" w:cs="Times New Roman"/>
          <w:b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because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floor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removal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eliminated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SNB's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unlimited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commitment to sell CHF and buy EUR. This was the dominant shift and a permanent regime change. The SNB had been the single largest CHF supplier to the FX market. The simultaneous rate cut to -0.75% partially offset this by making CHF deposits more expensive (a small rightward supply shift</w:t>
      </w:r>
      <w:proofErr w:type="gramStart"/>
      <w:r w:rsidRPr="005474ED">
        <w:rPr>
          <w:rFonts w:ascii="Times New Roman" w:hAnsi="Times New Roman" w:eastAsia="Times New Roman" w:cs="Times New Roman"/>
          <w:color w:val="000000"/>
          <w:sz w:val="22"/>
        </w:rPr>
        <w:t>), but</w:t>
      </w:r>
      <w:proofErr w:type="gramEnd"/>
      <w:r w:rsidRPr="005474ED">
        <w:rPr>
          <w:rFonts w:ascii="Times New Roman" w:hAnsi="Times New Roman" w:eastAsia="Times New Roman" w:cs="Times New Roman"/>
          <w:color w:val="000000"/>
          <w:sz w:val="22"/>
        </w:rPr>
        <w:t xml:space="preserve"> was far insufficient to counterbalance.</w:t>
      </w:r>
    </w:p>
    <w:p w14:paraId="12C13491" w14:textId="77777777" w:rsidR="00695C5C" w:rsidRPr="005474ED" w:rsidRDefault="00144F59">
      <w:pPr>
        <w:pStyle w:val="BodyText"/>
        <w:keepNext w:val="0"/>
        <w:widowControl/>
        <w:spacing w:line="276" w:lineRule="auto" w:before="0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The net effect: a large rightward demand shift plus a sharp leftward supply shift produced violent CHF appreciation. Temporary components (panic, stop-</w:t>
      </w:r>
      <w:proofErr w:type="gramStart"/>
      <w:r w:rsidRPr="005474ED">
        <w:rPr>
          <w:rFonts w:ascii="Times New Roman" w:hAnsi="Times New Roman" w:eastAsia="Times New Roman" w:cs="Times New Roman"/>
          <w:color w:val="000000"/>
          <w:sz w:val="22"/>
        </w:rPr>
        <w:t>losses</w:t>
      </w:r>
      <w:proofErr w:type="gramEnd"/>
      <w:r w:rsidRPr="005474ED">
        <w:rPr>
          <w:rFonts w:ascii="Times New Roman" w:hAnsi="Times New Roman" w:eastAsia="Times New Roman" w:cs="Times New Roman"/>
          <w:color w:val="000000"/>
          <w:sz w:val="22"/>
        </w:rPr>
        <w:t>) explain the intraday overshoot to 0.85-0.97.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Persistent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components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(regime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change,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safe-haven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preference)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explain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why</w:t>
      </w:r>
      <w:r w:rsidRPr="005474ED">
        <w:rPr>
          <w:rFonts w:ascii="Times New Roman" w:hAnsi="Times New Roman" w:eastAsia="Times New Roman" w:cs="Times New Roman"/>
          <w:color w:val="000000"/>
          <w:spacing w:val="-5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EUR/CHF stabilized near 1.04-1.07 rather than returning to 1.20.</w:t>
      </w:r>
    </w:p>
    <w:p w14:paraId="3EF551B3" w14:textId="77777777" w:rsidR="00695C5C" w:rsidRPr="005474ED" w:rsidRDefault="00144F59" w:rsidP="005474ED">
      <w:pPr>
        <w:pStyle w:val="Heading2"/>
        <w:keepNext/>
        <w:widowControl/>
        <w:tabs>
          <w:tab w:val="left" w:pos="431"/>
        </w:tabs>
        <w:spacing w:before="253" w:line="276" w:lineRule="auto" w:after="120"/>
        <w:ind w:firstLine="0" w:left="0" w:right="0"/>
        <w:rPr>
          <w:rFonts w:asciiTheme="majorHAnsi" w:hAnsiTheme="majorHAnsi"/>
          <w:sz w:val="22"/>
          <w:szCs w:val="22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8"/>
          <w:szCs w:val="22"/>
        </w:rPr>
        <w:t xml:space="preserve">Policy Options, Long-Run Consequences, and 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28"/>
          <w:szCs w:val="22"/>
        </w:rPr>
        <w:t>Outlook</w:t>
      </w:r>
    </w:p>
    <w:p w14:paraId="644C0BA1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Policy</w:t>
      </w:r>
      <w:r w:rsidRPr="005474ED">
        <w:rPr>
          <w:rFonts w:ascii="Times New Roman" w:hAnsi="Times New Roman" w:eastAsia="Times New Roman" w:cs="Times New Roman"/>
          <w:b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tools</w:t>
      </w:r>
      <w:r w:rsidRPr="005474ED">
        <w:rPr>
          <w:rFonts w:ascii="Times New Roman" w:hAnsi="Times New Roman" w:eastAsia="Times New Roman" w:cs="Times New Roman"/>
          <w:b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b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constraints.</w:t>
      </w:r>
      <w:r w:rsidRPr="005474ED">
        <w:rPr>
          <w:rFonts w:ascii="Times New Roman" w:hAnsi="Times New Roman" w:eastAsia="Times New Roman" w:cs="Times New Roman"/>
          <w:b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can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cut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rates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deeper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into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negative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territory,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intervene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 FX markets, or use forward guidance. But political resistance limits negative rates (a November 2014 gold referendum illustrated public sensitivity to balance-sheet risks); reserves at 80%+ of GDP strain credibility; and the SNB cannot control ECB policy, the primary external EUR/CHF driver (</w:t>
      </w:r>
      <w:proofErr w:type="spellStart"/>
      <w:r w:rsidRPr="005474ED">
        <w:rPr>
          <w:rFonts w:ascii="Times New Roman" w:hAnsi="Times New Roman" w:eastAsia="Times New Roman" w:cs="Times New Roman"/>
          <w:color w:val="000000"/>
          <w:sz w:val="22"/>
        </w:rPr>
        <w:t>Danthine</w:t>
      </w:r>
      <w:proofErr w:type="spellEnd"/>
      <w:r w:rsidRPr="005474ED">
        <w:rPr>
          <w:rFonts w:ascii="Times New Roman" w:hAnsi="Times New Roman" w:eastAsia="Times New Roman" w:cs="Times New Roman"/>
          <w:color w:val="000000"/>
          <w:sz w:val="22"/>
        </w:rPr>
        <w:t>, 2017).</w:t>
      </w:r>
    </w:p>
    <w:p w14:paraId="546703E4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Long-run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consequences.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Swiss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exporters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absorbed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shock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through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margin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compression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and quality upgrading; aggregate exports proved surprisingly resilient. Retail import prices fell only</w:t>
      </w:r>
    </w:p>
    <w:p w14:paraId="0F0D2AF5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t>~3%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two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quarters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later,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retailers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absorbed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much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of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currency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movement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(CEPR,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2025).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 SNB's balance sheet continued expanding to ~CHF 670 billion in reserves by end-2023. The</w:t>
      </w:r>
    </w:p>
    <w:p w14:paraId="303DE6D5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color w:val="000000"/>
          <w:sz w:val="22"/>
        </w:rPr>
        <w:lastRenderedPageBreak/>
        <w:t>institution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recorded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CHF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23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billion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loss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2015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and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record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CHF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132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billion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loss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2022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from valuation effects (International Monetary Fund [IMF], 2023).</w:t>
      </w:r>
    </w:p>
    <w:p w14:paraId="51CD474E" w14:textId="77777777" w:rsidR="00695C5C" w:rsidRPr="005474ED" w:rsidRDefault="00144F59">
      <w:pPr>
        <w:pStyle w:val="BodyText"/>
        <w:keepNext w:val="0"/>
        <w:widowControl/>
        <w:spacing w:line="276" w:lineRule="auto" w:before="0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Has the trend reversed?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Partially. EUR/CHF recovered to 1.05-1.10 through 2015-2017 and briefly approached 1.20 in late 2017 as ECB tightening expectations grew. However, renewed safe-haven demand during COVID-19 (2020) and the Russia-Ukraine conflict (2022) pushed EUR/CHF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below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parity.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of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early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2026,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it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trades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near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0.93-0.96,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with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policy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at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0% and inflation near zero.</w:t>
      </w:r>
    </w:p>
    <w:p w14:paraId="4B355194" w14:textId="77777777" w:rsidR="00695C5C" w:rsidRPr="005474ED" w:rsidRDefault="00144F59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32"/>
        </w:rPr>
        <w:t xml:space="preserve">Two-Quarter Outlook (Q2-Q3 </w:t>
      </w:r>
      <w:r w:rsidRPr="005474ED">
        <w:rPr>
          <w:rFonts w:ascii="Times New Roman" w:hAnsi="Times New Roman" w:eastAsia="Times New Roman" w:cs="Times New Roman"/>
          <w:b/>
          <w:color w:val="000000"/>
          <w:spacing w:val="-2"/>
          <w:sz w:val="32"/>
        </w:rPr>
        <w:t>2026)</w:t>
      </w:r>
    </w:p>
    <w:p w14:paraId="5787773A" w14:textId="77777777" w:rsidR="00695C5C" w:rsidRPr="005474ED" w:rsidRDefault="00144F59">
      <w:pPr>
        <w:pStyle w:val="BodyText"/>
        <w:keepNext w:val="0"/>
        <w:widowControl/>
        <w:spacing w:before="0" w:line="276" w:lineRule="auto" w:after="253"/>
        <w:ind w:right="0" w:firstLine="0" w:left="0"/>
        <w:rPr>
          <w:rFonts w:asciiTheme="majorHAnsi" w:hAnsiTheme="majorHAnsi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 xml:space="preserve">Base case: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EUR/CHF trades in a 0.92-0.97 range, biased lower if global risk aversion persists from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ongoing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trade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tensions.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will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likely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rely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discretionary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FX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intervention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rather</w:t>
      </w:r>
      <w:r w:rsidRPr="005474ED">
        <w:rPr>
          <w:rFonts w:ascii="Times New Roman" w:hAnsi="Times New Roman" w:eastAsia="Times New Roman" w:cs="Times New Roman"/>
          <w:color w:val="000000"/>
          <w:spacing w:val="-3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than rate cuts.</w:t>
      </w:r>
    </w:p>
    <w:p w14:paraId="02F5CB75" w14:textId="77777777" w:rsidR="00695C5C" w:rsidRPr="005474ED" w:rsidRDefault="00144F59">
      <w:pPr>
        <w:pStyle w:val="ListParagraph"/>
        <w:keepNext w:val="0"/>
        <w:widowControl/>
        <w:numPr>
          <w:ilvl w:val="0"/>
          <w:numId w:val="1"/>
        </w:numPr>
        <w:tabs>
          <w:tab w:val="left" w:pos="529"/>
          <w:tab w:val="left" w:pos="560"/>
        </w:tabs>
        <w:spacing w:before="0" w:line="276" w:lineRule="auto" w:after="253"/>
        <w:ind w:right="0" w:firstLine="0" w:left="0"/>
        <w:rPr>
          <w:rFonts w:asciiTheme="majorHAnsi" w:hAnsiTheme="majorHAnsi"/>
          <w:sz w:val="21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Downside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risk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(stronger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CHF):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U.S.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tariff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escalation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or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European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recession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could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push EUR/CHF below 0.90. A return to negative SNB rates would signal severe stress.</w:t>
      </w:r>
    </w:p>
    <w:p w14:paraId="2A8B03BF" w14:textId="77777777" w:rsidR="00695C5C" w:rsidRPr="005474ED" w:rsidRDefault="00144F59">
      <w:pPr>
        <w:pStyle w:val="ListParagraph"/>
        <w:keepNext w:val="0"/>
        <w:widowControl/>
        <w:numPr>
          <w:ilvl w:val="0"/>
          <w:numId w:val="1"/>
        </w:numPr>
        <w:tabs>
          <w:tab w:val="left" w:pos="529"/>
          <w:tab w:val="left" w:pos="560"/>
        </w:tabs>
        <w:spacing w:before="0" w:line="276" w:lineRule="auto" w:after="253"/>
        <w:ind w:right="0" w:firstLine="0" w:left="0"/>
        <w:rPr>
          <w:rFonts w:asciiTheme="majorHAnsi" w:hAnsiTheme="majorHAnsi"/>
          <w:sz w:val="21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Upside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risk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(weaker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CHF):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Trade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tension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de-escalation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or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hawkish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ECB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policy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relative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to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the SNB could push EUR/CHF toward 1.00.</w:t>
      </w:r>
    </w:p>
    <w:p w14:paraId="321B91BA" w14:textId="77777777" w:rsidR="00695C5C" w:rsidRPr="005474ED" w:rsidRDefault="00144F59">
      <w:pPr>
        <w:pStyle w:val="ListParagraph"/>
        <w:keepNext w:val="0"/>
        <w:widowControl/>
        <w:numPr>
          <w:ilvl w:val="0"/>
          <w:numId w:val="1"/>
        </w:numPr>
        <w:tabs>
          <w:tab w:val="left" w:pos="529"/>
          <w:tab w:val="left" w:pos="560"/>
        </w:tabs>
        <w:spacing w:before="0" w:line="276" w:lineRule="auto" w:after="253"/>
        <w:ind w:right="0" w:firstLine="0" w:left="0"/>
        <w:rPr>
          <w:rFonts w:asciiTheme="majorHAnsi" w:hAnsiTheme="majorHAnsi"/>
          <w:sz w:val="21"/>
        </w:rPr>
      </w:pP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Key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b/>
          <w:color w:val="000000"/>
          <w:sz w:val="22"/>
        </w:rPr>
        <w:t>monitors:</w:t>
      </w:r>
      <w:r w:rsidRPr="005474ED">
        <w:rPr>
          <w:rFonts w:ascii="Times New Roman" w:hAnsi="Times New Roman" w:eastAsia="Times New Roman" w:cs="Times New Roman"/>
          <w:b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SNB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quarterly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assessments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(Mar/Jun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2026),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Swiss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CPI,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EUR/CHF</w:t>
      </w:r>
      <w:r w:rsidRPr="005474ED">
        <w:rPr>
          <w:rFonts w:ascii="Times New Roman" w:hAnsi="Times New Roman" w:eastAsia="Times New Roman" w:cs="Times New Roman"/>
          <w:color w:val="000000"/>
          <w:spacing w:val="-4"/>
          <w:sz w:val="22"/>
        </w:rPr>
        <w:t xml:space="preserve"> </w:t>
      </w:r>
      <w:r w:rsidRPr="005474ED">
        <w:rPr>
          <w:rFonts w:ascii="Times New Roman" w:hAnsi="Times New Roman" w:eastAsia="Times New Roman" w:cs="Times New Roman"/>
          <w:color w:val="000000"/>
          <w:sz w:val="22"/>
        </w:rPr>
        <w:t>implied volatility, ECB rate decisions, and SNB sight-deposit data (intervention proxy).</w:t>
      </w:r>
    </w:p>
    <w:sectPr w:rsidR="00695C5C" w:rsidRPr="005474ED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Times New Roman" w:hAnsi="Times New Roman" w:eastAsia="Times New Roman" w:cs="Times New Roman"/>
        <w:color w:val="000000"/>
        <w:sz w:val="18"/>
      </w:rPr>
      <w:t xml:space="preserve">Eshan Mukherjee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Times New Roman" w:hAnsi="Times New Roman" w:eastAsia="Times New Roman" w:cs="Times New Roman"/>
        <w:color w:val="000000"/>
        <w:sz w:val="18"/>
      </w:rPr>
      <w:t>Swiss Franc Shock and Exchange Rate Analysis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1C7E"/>
    <w:multiLevelType w:val="hybridMultilevel"/>
    <w:tmpl w:val="7FE4D5E4"/>
    <w:lvl w:ilvl="0" w:tplc="334C523E">
      <w:numFmt w:val="bullet"/>
      <w:lvlText w:val="•"/>
      <w:lvlJc w:val="left"/>
      <w:pPr>
        <w:ind w:left="560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726F094">
      <w:numFmt w:val="bullet"/>
      <w:lvlText w:val="•"/>
      <w:lvlJc w:val="left"/>
      <w:pPr>
        <w:ind w:left="1440" w:hanging="190"/>
      </w:pPr>
      <w:rPr>
        <w:rFonts w:hint="default"/>
        <w:lang w:val="en-US" w:eastAsia="en-US" w:bidi="ar-SA"/>
      </w:rPr>
    </w:lvl>
    <w:lvl w:ilvl="2" w:tplc="13D645E0">
      <w:numFmt w:val="bullet"/>
      <w:lvlText w:val="•"/>
      <w:lvlJc w:val="left"/>
      <w:pPr>
        <w:ind w:left="2320" w:hanging="190"/>
      </w:pPr>
      <w:rPr>
        <w:rFonts w:hint="default"/>
        <w:lang w:val="en-US" w:eastAsia="en-US" w:bidi="ar-SA"/>
      </w:rPr>
    </w:lvl>
    <w:lvl w:ilvl="3" w:tplc="31F6FC84">
      <w:numFmt w:val="bullet"/>
      <w:lvlText w:val="•"/>
      <w:lvlJc w:val="left"/>
      <w:pPr>
        <w:ind w:left="3200" w:hanging="190"/>
      </w:pPr>
      <w:rPr>
        <w:rFonts w:hint="default"/>
        <w:lang w:val="en-US" w:eastAsia="en-US" w:bidi="ar-SA"/>
      </w:rPr>
    </w:lvl>
    <w:lvl w:ilvl="4" w:tplc="DB1A07DE">
      <w:numFmt w:val="bullet"/>
      <w:lvlText w:val="•"/>
      <w:lvlJc w:val="left"/>
      <w:pPr>
        <w:ind w:left="4080" w:hanging="190"/>
      </w:pPr>
      <w:rPr>
        <w:rFonts w:hint="default"/>
        <w:lang w:val="en-US" w:eastAsia="en-US" w:bidi="ar-SA"/>
      </w:rPr>
    </w:lvl>
    <w:lvl w:ilvl="5" w:tplc="2572DA20">
      <w:numFmt w:val="bullet"/>
      <w:lvlText w:val="•"/>
      <w:lvlJc w:val="left"/>
      <w:pPr>
        <w:ind w:left="4960" w:hanging="190"/>
      </w:pPr>
      <w:rPr>
        <w:rFonts w:hint="default"/>
        <w:lang w:val="en-US" w:eastAsia="en-US" w:bidi="ar-SA"/>
      </w:rPr>
    </w:lvl>
    <w:lvl w:ilvl="6" w:tplc="AD38BED0">
      <w:numFmt w:val="bullet"/>
      <w:lvlText w:val="•"/>
      <w:lvlJc w:val="left"/>
      <w:pPr>
        <w:ind w:left="5840" w:hanging="190"/>
      </w:pPr>
      <w:rPr>
        <w:rFonts w:hint="default"/>
        <w:lang w:val="en-US" w:eastAsia="en-US" w:bidi="ar-SA"/>
      </w:rPr>
    </w:lvl>
    <w:lvl w:ilvl="7" w:tplc="EB3024B2">
      <w:numFmt w:val="bullet"/>
      <w:lvlText w:val="•"/>
      <w:lvlJc w:val="left"/>
      <w:pPr>
        <w:ind w:left="6720" w:hanging="190"/>
      </w:pPr>
      <w:rPr>
        <w:rFonts w:hint="default"/>
        <w:lang w:val="en-US" w:eastAsia="en-US" w:bidi="ar-SA"/>
      </w:rPr>
    </w:lvl>
    <w:lvl w:ilvl="8" w:tplc="09125470">
      <w:numFmt w:val="bullet"/>
      <w:lvlText w:val="•"/>
      <w:lvlJc w:val="left"/>
      <w:pPr>
        <w:ind w:left="7600" w:hanging="190"/>
      </w:pPr>
      <w:rPr>
        <w:rFonts w:hint="default"/>
        <w:lang w:val="en-US" w:eastAsia="en-US" w:bidi="ar-SA"/>
      </w:rPr>
    </w:lvl>
  </w:abstractNum>
  <w:abstractNum w:abstractNumId="1" w15:restartNumberingAfterBreak="0">
    <w:nsid w:val="50FD3E2C"/>
    <w:multiLevelType w:val="hybridMultilevel"/>
    <w:tmpl w:val="C178AAD6"/>
    <w:lvl w:ilvl="0" w:tplc="5688188E">
      <w:start w:val="1"/>
      <w:numFmt w:val="decimal"/>
      <w:lvlText w:val="%1."/>
      <w:lvlJc w:val="left"/>
      <w:pPr>
        <w:ind w:left="431" w:hanging="312"/>
        <w:jc w:val="left"/>
      </w:pPr>
      <w:rPr>
        <w:rFonts w:ascii="Arial" w:eastAsia="Arial" w:hAnsi="Arial" w:cs="Arial" w:hint="default"/>
        <w:b/>
        <w:bCs/>
        <w:i w:val="0"/>
        <w:iCs w:val="0"/>
        <w:color w:val="1A3A5B"/>
        <w:spacing w:val="0"/>
        <w:w w:val="100"/>
        <w:sz w:val="28"/>
        <w:szCs w:val="28"/>
        <w:lang w:val="en-US" w:eastAsia="en-US" w:bidi="ar-SA"/>
      </w:rPr>
    </w:lvl>
    <w:lvl w:ilvl="1" w:tplc="47AE54DA">
      <w:numFmt w:val="bullet"/>
      <w:lvlText w:val="•"/>
      <w:lvlJc w:val="left"/>
      <w:pPr>
        <w:ind w:left="1332" w:hanging="312"/>
      </w:pPr>
      <w:rPr>
        <w:rFonts w:hint="default"/>
        <w:lang w:val="en-US" w:eastAsia="en-US" w:bidi="ar-SA"/>
      </w:rPr>
    </w:lvl>
    <w:lvl w:ilvl="2" w:tplc="87568622">
      <w:numFmt w:val="bullet"/>
      <w:lvlText w:val="•"/>
      <w:lvlJc w:val="left"/>
      <w:pPr>
        <w:ind w:left="2224" w:hanging="312"/>
      </w:pPr>
      <w:rPr>
        <w:rFonts w:hint="default"/>
        <w:lang w:val="en-US" w:eastAsia="en-US" w:bidi="ar-SA"/>
      </w:rPr>
    </w:lvl>
    <w:lvl w:ilvl="3" w:tplc="5C744138">
      <w:numFmt w:val="bullet"/>
      <w:lvlText w:val="•"/>
      <w:lvlJc w:val="left"/>
      <w:pPr>
        <w:ind w:left="3116" w:hanging="312"/>
      </w:pPr>
      <w:rPr>
        <w:rFonts w:hint="default"/>
        <w:lang w:val="en-US" w:eastAsia="en-US" w:bidi="ar-SA"/>
      </w:rPr>
    </w:lvl>
    <w:lvl w:ilvl="4" w:tplc="8124C006">
      <w:numFmt w:val="bullet"/>
      <w:lvlText w:val="•"/>
      <w:lvlJc w:val="left"/>
      <w:pPr>
        <w:ind w:left="4008" w:hanging="312"/>
      </w:pPr>
      <w:rPr>
        <w:rFonts w:hint="default"/>
        <w:lang w:val="en-US" w:eastAsia="en-US" w:bidi="ar-SA"/>
      </w:rPr>
    </w:lvl>
    <w:lvl w:ilvl="5" w:tplc="37063950">
      <w:numFmt w:val="bullet"/>
      <w:lvlText w:val="•"/>
      <w:lvlJc w:val="left"/>
      <w:pPr>
        <w:ind w:left="4900" w:hanging="312"/>
      </w:pPr>
      <w:rPr>
        <w:rFonts w:hint="default"/>
        <w:lang w:val="en-US" w:eastAsia="en-US" w:bidi="ar-SA"/>
      </w:rPr>
    </w:lvl>
    <w:lvl w:ilvl="6" w:tplc="1AEC4BAC">
      <w:numFmt w:val="bullet"/>
      <w:lvlText w:val="•"/>
      <w:lvlJc w:val="left"/>
      <w:pPr>
        <w:ind w:left="5792" w:hanging="312"/>
      </w:pPr>
      <w:rPr>
        <w:rFonts w:hint="default"/>
        <w:lang w:val="en-US" w:eastAsia="en-US" w:bidi="ar-SA"/>
      </w:rPr>
    </w:lvl>
    <w:lvl w:ilvl="7" w:tplc="9B7ED2E6">
      <w:numFmt w:val="bullet"/>
      <w:lvlText w:val="•"/>
      <w:lvlJc w:val="left"/>
      <w:pPr>
        <w:ind w:left="6684" w:hanging="312"/>
      </w:pPr>
      <w:rPr>
        <w:rFonts w:hint="default"/>
        <w:lang w:val="en-US" w:eastAsia="en-US" w:bidi="ar-SA"/>
      </w:rPr>
    </w:lvl>
    <w:lvl w:ilvl="8" w:tplc="737E2138">
      <w:numFmt w:val="bullet"/>
      <w:lvlText w:val="•"/>
      <w:lvlJc w:val="left"/>
      <w:pPr>
        <w:ind w:left="7576" w:hanging="312"/>
      </w:pPr>
      <w:rPr>
        <w:rFonts w:hint="default"/>
        <w:lang w:val="en-US" w:eastAsia="en-US" w:bidi="ar-SA"/>
      </w:rPr>
    </w:lvl>
  </w:abstractNum>
  <w:num w:numId="1" w16cid:durableId="2032993677">
    <w:abstractNumId w:val="0"/>
  </w:num>
  <w:num w:numId="2" w16cid:durableId="1753625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5C"/>
    <w:rsid w:val="00144F59"/>
    <w:rsid w:val="005474ED"/>
    <w:rsid w:val="0058450F"/>
    <w:rsid w:val="00695C5C"/>
    <w:rsid w:val="00D9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992A"/>
  <w15:docId w15:val="{713ADF8C-1EE6-4F66-8731-3389504B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pacing w:line="276" w:lineRule="auto" w:before="0" w:after="253"/>
      <w:ind w:firstLine="0"/>
    </w:pPr>
    <w:rPr>
      <w:rFonts w:ascii="Times New Roman" w:eastAsia="Arial" w:hAnsi="Times New Roman" w:cs="Arial"/>
      <w:color w:val="000000"/>
      <w:sz w:val="22"/>
    </w:rPr>
  </w:style>
  <w:style w:type="paragraph" w:styleId="Heading1">
    <w:name w:val="heading 1"/>
    <w:basedOn w:val="Normal"/>
    <w:uiPriority w:val="9"/>
    <w:qFormat/>
    <w:pPr>
      <w:keepNext/>
      <w:widowControl/>
      <w:spacing w:before="253" w:line="276" w:lineRule="auto" w:after="120"/>
      <w:ind w:left="1723" w:right="191" w:firstLine="0"/>
      <w:outlineLvl w:val="0"/>
    </w:pPr>
    <w:rPr>
      <w:rFonts w:ascii="Times New Roman" w:hAnsi="Times New Roman"/>
      <w:b/>
      <w:bCs/>
      <w:color w:val="000000"/>
      <w:sz w:val="32"/>
      <w:szCs w:val="40"/>
    </w:rPr>
  </w:style>
  <w:style w:type="paragraph" w:styleId="Heading2">
    <w:name w:val="heading 2"/>
    <w:basedOn w:val="Normal"/>
    <w:uiPriority w:val="9"/>
    <w:unhideWhenUsed/>
    <w:qFormat/>
    <w:pPr>
      <w:keepNext/>
      <w:widowControl/>
      <w:spacing w:line="276" w:lineRule="auto" w:before="253" w:after="120"/>
      <w:ind w:left="431" w:firstLine="0"/>
      <w:outlineLvl w:val="1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keepNext/>
      <w:widowControl/>
      <w:spacing w:before="253" w:line="276" w:lineRule="auto" w:after="120"/>
      <w:ind w:left="120" w:firstLine="0"/>
      <w:outlineLvl w:val="2"/>
    </w:pPr>
    <w:rPr>
      <w:rFonts w:ascii="Times New Roman" w:hAnsi="Times New Roman"/>
      <w:b/>
      <w:bCs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/>
      <w:spacing w:before="0" w:line="276" w:lineRule="auto" w:after="253"/>
      <w:ind w:left="120" w:firstLine="0"/>
    </w:pPr>
    <w:rPr>
      <w:rFonts w:ascii="Times New Roman" w:hAnsi="Times New Roman"/>
      <w:color w:val="000000"/>
      <w:sz w:val="22"/>
      <w:szCs w:val="21"/>
    </w:rPr>
  </w:style>
  <w:style w:type="paragraph" w:styleId="ListParagraph">
    <w:name w:val="List Paragraph"/>
    <w:basedOn w:val="Normal"/>
    <w:uiPriority w:val="1"/>
    <w:qFormat/>
    <w:pPr>
      <w:widowControl/>
      <w:spacing w:line="276" w:lineRule="auto" w:before="0" w:after="253"/>
      <w:ind w:left="431" w:firstLine="0"/>
    </w:pPr>
    <w:rPr>
      <w:rFonts w:ascii="Times New Roman" w:hAnsi="Times New Roman"/>
      <w:color w:val="000000"/>
      <w:sz w:val="22"/>
    </w:rPr>
  </w:style>
  <w:style w:type="paragraph" w:customStyle="1" w:styleId="TableParagraph">
    <w:name w:val="Table Paragraph"/>
    <w:basedOn w:val="Normal"/>
    <w:uiPriority w:val="1"/>
    <w:qFormat/>
    <w:pPr>
      <w:widowControl/>
      <w:spacing w:before="0" w:line="276" w:lineRule="auto" w:after="253"/>
      <w:ind w:left="10" w:firstLine="0"/>
      <w:jc w:val="center"/>
    </w:pPr>
    <w:rPr>
      <w:rFonts w:ascii="Times New Roman" w:hAnsi="Times New Roman"/>
      <w:color w:val="000000"/>
      <w:sz w:val="22"/>
    </w:rPr>
  </w:style>
  <w:style w:type="paragraph" w:customStyle="1" w:styleId="Title">
    <w:name w:val="Title"/>
    <w:pPr>
      <w:keepNext/>
      <w:widowControl/>
      <w:spacing w:line="276" w:lineRule="auto" w:before="0" w:after="253"/>
      <w:ind w:firstLine="0"/>
    </w:pPr>
    <w:rPr>
      <w:rFonts w:ascii="Times New Roman" w:hAnsi="Times New Roman"/>
      <w:b/>
      <w:color w:val="000000"/>
      <w:sz w:val="36"/>
    </w:rPr>
  </w:style>
  <w:style w:type="paragraph" w:customStyle="1" w:styleId="Subtitle">
    <w:name w:val="Subtitle"/>
    <w:pPr>
      <w:keepNext w:val="0"/>
      <w:widowControl/>
      <w:spacing w:line="276" w:lineRule="auto" w:before="0" w:after="253"/>
      <w:ind w:firstLine="0"/>
    </w:pPr>
    <w:rPr>
      <w:rFonts w:ascii="Times New Roman" w:hAnsi="Times New Roman"/>
      <w:b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_scrub.png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_scrub.png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_scrub.pn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_scrub.png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theme" Target="theme/theme1.xml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1771</Words>
  <Characters>10101</Characters>
  <Application>Office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Swiss Franc Shock and Exchange Rate Analysis</dc:title>
  <dc:subject>(unspecified)</dc:subject>
  <dc:creator>Eshan Mukherjee</dc:creator>
  <cp:lastModifiedBy>Eshan Mukherjee</cp:lastModifiedBy>
  <cp:revision>2</cp:revision>
  <dcterms:created xsi:type="dcterms:W3CDTF">2026-03-05T04:56:00Z</dcterms:created>
  <dcterms:modified xsi:type="dcterms:W3CDTF">2026-03-05T04:56:00Z</dcterms:modified>
  <dc:description/>
  <cp:keyword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2026-03-05T00:00:00Z</vt:filetime>
  </property>
  <property fmtid="{D5CDD505-2E9C-101B-9397-08002B2CF9AE}" pid="5" name="Producer">
    <vt:lpwstr>ReportLab PDF Library - (opensource)</vt:lpwstr>
  </property>
</Properties>
</file>